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3BB4" w:rsidRDefault="005322DA" w:rsidP="00393BB4">
      <w:pPr>
        <w:jc w:val="center"/>
        <w:rPr>
          <w:rFonts w:ascii="Calibri" w:hAnsi="Calibri" w:cs="Calibri"/>
          <w:b/>
          <w:bCs/>
          <w:color w:val="1F497D"/>
          <w:sz w:val="22"/>
          <w:szCs w:val="22"/>
        </w:rPr>
      </w:pPr>
      <w:r>
        <w:rPr>
          <w:rFonts w:ascii="Calibri" w:hAnsi="Calibri" w:cs="Calibri"/>
          <w:b/>
          <w:bCs/>
          <w:color w:val="1F497D"/>
          <w:sz w:val="22"/>
          <w:szCs w:val="22"/>
        </w:rPr>
        <w:t xml:space="preserve">Call for Papers and Proposals </w:t>
      </w:r>
    </w:p>
    <w:p w:rsidR="005322DA" w:rsidRDefault="00393BB4" w:rsidP="00393BB4">
      <w:pPr>
        <w:jc w:val="center"/>
        <w:rPr>
          <w:rFonts w:ascii="Calibri" w:hAnsi="Calibri" w:cs="Calibri"/>
          <w:b/>
          <w:bCs/>
          <w:color w:val="1F497D"/>
          <w:sz w:val="22"/>
          <w:szCs w:val="22"/>
        </w:rPr>
      </w:pPr>
      <w:r>
        <w:rPr>
          <w:rFonts w:ascii="Calibri" w:hAnsi="Calibri" w:cs="Calibri"/>
          <w:b/>
          <w:bCs/>
          <w:color w:val="1F497D"/>
          <w:sz w:val="22"/>
          <w:szCs w:val="22"/>
        </w:rPr>
        <w:t xml:space="preserve">AALS </w:t>
      </w:r>
      <w:r w:rsidR="005322DA">
        <w:rPr>
          <w:rFonts w:ascii="Calibri" w:hAnsi="Calibri" w:cs="Calibri"/>
          <w:b/>
          <w:bCs/>
          <w:color w:val="1F497D"/>
          <w:sz w:val="22"/>
          <w:szCs w:val="22"/>
        </w:rPr>
        <w:t xml:space="preserve">Associate Deans </w:t>
      </w:r>
      <w:r>
        <w:rPr>
          <w:rFonts w:ascii="Calibri" w:hAnsi="Calibri" w:cs="Calibri"/>
          <w:b/>
          <w:bCs/>
          <w:color w:val="1F497D"/>
          <w:sz w:val="22"/>
          <w:szCs w:val="22"/>
        </w:rPr>
        <w:t>Section</w:t>
      </w:r>
    </w:p>
    <w:p w:rsidR="00491197" w:rsidRDefault="00491197" w:rsidP="005322DA">
      <w:pPr>
        <w:rPr>
          <w:rFonts w:ascii="Calibri" w:hAnsi="Calibri" w:cs="Calibri"/>
          <w:b/>
          <w:bCs/>
          <w:color w:val="1F497D"/>
          <w:sz w:val="22"/>
          <w:szCs w:val="22"/>
        </w:rPr>
      </w:pPr>
    </w:p>
    <w:p w:rsidR="005322DA" w:rsidRDefault="005322DA" w:rsidP="00491197">
      <w:pPr>
        <w:jc w:val="center"/>
        <w:rPr>
          <w:rFonts w:ascii="Calibri" w:hAnsi="Calibri" w:cs="Calibri"/>
          <w:b/>
          <w:bCs/>
          <w:color w:val="1F497D"/>
          <w:sz w:val="22"/>
          <w:szCs w:val="22"/>
        </w:rPr>
      </w:pPr>
      <w:r>
        <w:rPr>
          <w:rFonts w:ascii="Calibri" w:hAnsi="Calibri" w:cs="Calibri"/>
          <w:b/>
          <w:bCs/>
          <w:color w:val="1F497D"/>
          <w:sz w:val="22"/>
          <w:szCs w:val="22"/>
        </w:rPr>
        <w:t>Distance Education in Law Schools</w:t>
      </w:r>
      <w:r w:rsidR="00491197">
        <w:rPr>
          <w:rFonts w:ascii="Calibri" w:hAnsi="Calibri" w:cs="Calibri"/>
          <w:b/>
          <w:bCs/>
          <w:color w:val="1F497D"/>
          <w:sz w:val="22"/>
          <w:szCs w:val="22"/>
        </w:rPr>
        <w:t>: Exploring Issues and Best Practices</w:t>
      </w:r>
    </w:p>
    <w:p w:rsidR="00393BB4" w:rsidRDefault="00393BB4" w:rsidP="00491197">
      <w:pPr>
        <w:jc w:val="center"/>
        <w:rPr>
          <w:color w:val="000000"/>
        </w:rPr>
      </w:pPr>
    </w:p>
    <w:p w:rsidR="005322DA" w:rsidRDefault="005322DA" w:rsidP="005322DA">
      <w:pPr>
        <w:rPr>
          <w:color w:val="000000"/>
        </w:rPr>
      </w:pPr>
      <w:r>
        <w:rPr>
          <w:rFonts w:ascii="Calibri" w:hAnsi="Calibri" w:cs="Calibri"/>
          <w:color w:val="1F497D"/>
          <w:sz w:val="22"/>
          <w:szCs w:val="22"/>
        </w:rPr>
        <w:t>The Associate Deans section of the AALS is s</w:t>
      </w:r>
      <w:r w:rsidR="004568E2">
        <w:rPr>
          <w:rFonts w:ascii="Calibri" w:hAnsi="Calibri" w:cs="Calibri"/>
          <w:color w:val="1F497D"/>
          <w:sz w:val="22"/>
          <w:szCs w:val="22"/>
        </w:rPr>
        <w:t>eeking</w:t>
      </w:r>
      <w:r>
        <w:rPr>
          <w:rFonts w:ascii="Calibri" w:hAnsi="Calibri" w:cs="Calibri"/>
          <w:color w:val="1F497D"/>
          <w:sz w:val="22"/>
          <w:szCs w:val="22"/>
        </w:rPr>
        <w:t xml:space="preserve"> papers, proposals, and suggestions for speakers to participate in a session at the 2018 AALS Annual meeting that will focus on multiple issues involved with Distance Education in Law Schools.  ABA Standard 306 addresses this issue and provides general guidance on distance education.  As deans and faculty grapple with issues regarding distance education, we invite </w:t>
      </w:r>
      <w:r w:rsidR="004568E2">
        <w:rPr>
          <w:rFonts w:ascii="Calibri" w:hAnsi="Calibri" w:cs="Calibri"/>
          <w:color w:val="1F497D"/>
          <w:sz w:val="22"/>
          <w:szCs w:val="22"/>
        </w:rPr>
        <w:t xml:space="preserve">papers, </w:t>
      </w:r>
      <w:r>
        <w:rPr>
          <w:rFonts w:ascii="Calibri" w:hAnsi="Calibri" w:cs="Calibri"/>
          <w:color w:val="1F497D"/>
          <w:sz w:val="22"/>
          <w:szCs w:val="22"/>
        </w:rPr>
        <w:t xml:space="preserve">proposals, and suggestions </w:t>
      </w:r>
      <w:r w:rsidR="004568E2">
        <w:rPr>
          <w:rFonts w:ascii="Calibri" w:hAnsi="Calibri" w:cs="Calibri"/>
          <w:color w:val="1F497D"/>
          <w:sz w:val="22"/>
          <w:szCs w:val="22"/>
        </w:rPr>
        <w:t>for</w:t>
      </w:r>
      <w:r>
        <w:rPr>
          <w:rFonts w:ascii="Calibri" w:hAnsi="Calibri" w:cs="Calibri"/>
          <w:color w:val="1F497D"/>
          <w:sz w:val="22"/>
          <w:szCs w:val="22"/>
        </w:rPr>
        <w:t xml:space="preserve"> speakers regarding the issues below and other issues related to this topic.  Some of the issues include:</w:t>
      </w:r>
    </w:p>
    <w:p w:rsidR="005322DA" w:rsidRDefault="005322DA" w:rsidP="00491197">
      <w:pPr>
        <w:pStyle w:val="ListParagraph"/>
        <w:ind w:hanging="360"/>
        <w:jc w:val="both"/>
        <w:rPr>
          <w:color w:val="000000"/>
        </w:rPr>
      </w:pPr>
      <w:r>
        <w:rPr>
          <w:color w:val="1F497D"/>
          <w:sz w:val="22"/>
          <w:szCs w:val="22"/>
        </w:rPr>
        <w:t>·</w:t>
      </w:r>
      <w:r>
        <w:rPr>
          <w:color w:val="1F497D"/>
          <w:sz w:val="14"/>
          <w:szCs w:val="14"/>
        </w:rPr>
        <w:t>      </w:t>
      </w:r>
      <w:proofErr w:type="gramStart"/>
      <w:r>
        <w:rPr>
          <w:rFonts w:ascii="Calibri" w:hAnsi="Calibri" w:cs="Calibri"/>
          <w:color w:val="1F497D"/>
          <w:sz w:val="22"/>
          <w:szCs w:val="22"/>
        </w:rPr>
        <w:t>whether</w:t>
      </w:r>
      <w:proofErr w:type="gramEnd"/>
      <w:r>
        <w:rPr>
          <w:rFonts w:ascii="Calibri" w:hAnsi="Calibri" w:cs="Calibri"/>
          <w:color w:val="1F497D"/>
          <w:sz w:val="22"/>
          <w:szCs w:val="22"/>
        </w:rPr>
        <w:t xml:space="preserve"> and how many of these types of courses to offer; </w:t>
      </w:r>
    </w:p>
    <w:p w:rsidR="005322DA" w:rsidRDefault="005322DA" w:rsidP="00491197">
      <w:pPr>
        <w:pStyle w:val="ListParagraph"/>
        <w:ind w:hanging="360"/>
        <w:jc w:val="both"/>
        <w:rPr>
          <w:rFonts w:ascii="Calibri" w:hAnsi="Calibri" w:cs="Calibri"/>
          <w:color w:val="1F497D"/>
          <w:sz w:val="22"/>
          <w:szCs w:val="22"/>
        </w:rPr>
      </w:pPr>
      <w:r>
        <w:rPr>
          <w:color w:val="1F497D"/>
          <w:sz w:val="22"/>
          <w:szCs w:val="22"/>
        </w:rPr>
        <w:t>·</w:t>
      </w:r>
      <w:r>
        <w:rPr>
          <w:color w:val="1F497D"/>
          <w:sz w:val="14"/>
          <w:szCs w:val="14"/>
        </w:rPr>
        <w:t>       </w:t>
      </w:r>
      <w:proofErr w:type="gramStart"/>
      <w:r>
        <w:rPr>
          <w:rFonts w:ascii="Calibri" w:hAnsi="Calibri" w:cs="Calibri"/>
          <w:color w:val="1F497D"/>
          <w:sz w:val="22"/>
          <w:szCs w:val="22"/>
        </w:rPr>
        <w:t>data</w:t>
      </w:r>
      <w:proofErr w:type="gramEnd"/>
      <w:r>
        <w:rPr>
          <w:rFonts w:ascii="Calibri" w:hAnsi="Calibri" w:cs="Calibri"/>
          <w:color w:val="1F497D"/>
          <w:sz w:val="22"/>
          <w:szCs w:val="22"/>
        </w:rPr>
        <w:t xml:space="preserve"> regarding the pedagogical strengths and weaknesses, and the viability, of these courses;</w:t>
      </w:r>
    </w:p>
    <w:p w:rsidR="005322DA" w:rsidRDefault="005322DA" w:rsidP="00491197">
      <w:pPr>
        <w:pStyle w:val="ListParagraph"/>
        <w:ind w:hanging="360"/>
        <w:jc w:val="both"/>
        <w:rPr>
          <w:color w:val="000000"/>
        </w:rPr>
      </w:pPr>
      <w:r>
        <w:rPr>
          <w:color w:val="1F497D"/>
          <w:sz w:val="22"/>
          <w:szCs w:val="22"/>
        </w:rPr>
        <w:t>·</w:t>
      </w:r>
      <w:r>
        <w:rPr>
          <w:color w:val="1F497D"/>
          <w:sz w:val="14"/>
          <w:szCs w:val="14"/>
        </w:rPr>
        <w:t>       </w:t>
      </w:r>
      <w:proofErr w:type="gramStart"/>
      <w:r>
        <w:rPr>
          <w:rFonts w:ascii="Calibri" w:hAnsi="Calibri" w:cs="Calibri"/>
          <w:color w:val="1F497D"/>
          <w:sz w:val="22"/>
          <w:szCs w:val="22"/>
        </w:rPr>
        <w:t>whether</w:t>
      </w:r>
      <w:proofErr w:type="gramEnd"/>
      <w:r>
        <w:rPr>
          <w:rFonts w:ascii="Calibri" w:hAnsi="Calibri" w:cs="Calibri"/>
          <w:color w:val="1F497D"/>
          <w:sz w:val="22"/>
          <w:szCs w:val="22"/>
        </w:rPr>
        <w:t xml:space="preserve"> certain topics are better suited than others for distance education; </w:t>
      </w:r>
    </w:p>
    <w:p w:rsidR="005322DA" w:rsidRDefault="005322DA" w:rsidP="00491197">
      <w:pPr>
        <w:pStyle w:val="ListParagraph"/>
        <w:ind w:hanging="360"/>
        <w:jc w:val="both"/>
        <w:rPr>
          <w:color w:val="000000"/>
        </w:rPr>
      </w:pPr>
      <w:r>
        <w:rPr>
          <w:color w:val="1F497D"/>
          <w:sz w:val="22"/>
          <w:szCs w:val="22"/>
        </w:rPr>
        <w:t>·</w:t>
      </w:r>
      <w:r>
        <w:rPr>
          <w:color w:val="1F497D"/>
          <w:sz w:val="14"/>
          <w:szCs w:val="14"/>
        </w:rPr>
        <w:t>       </w:t>
      </w:r>
      <w:proofErr w:type="gramStart"/>
      <w:r>
        <w:rPr>
          <w:rFonts w:ascii="Calibri" w:hAnsi="Calibri" w:cs="Calibri"/>
          <w:color w:val="1F497D"/>
          <w:sz w:val="22"/>
          <w:szCs w:val="22"/>
        </w:rPr>
        <w:t>synchronous</w:t>
      </w:r>
      <w:proofErr w:type="gramEnd"/>
      <w:r>
        <w:rPr>
          <w:rFonts w:ascii="Calibri" w:hAnsi="Calibri" w:cs="Calibri"/>
          <w:color w:val="1F497D"/>
          <w:sz w:val="22"/>
          <w:szCs w:val="22"/>
        </w:rPr>
        <w:t xml:space="preserve"> v. asynchronous teaching and learning; </w:t>
      </w:r>
    </w:p>
    <w:p w:rsidR="005322DA" w:rsidRDefault="005322DA" w:rsidP="00491197">
      <w:pPr>
        <w:pStyle w:val="ListParagraph"/>
        <w:ind w:hanging="360"/>
        <w:jc w:val="both"/>
        <w:rPr>
          <w:color w:val="000000"/>
        </w:rPr>
      </w:pPr>
      <w:r>
        <w:rPr>
          <w:color w:val="1F497D"/>
          <w:sz w:val="22"/>
          <w:szCs w:val="22"/>
        </w:rPr>
        <w:t>·</w:t>
      </w:r>
      <w:r>
        <w:rPr>
          <w:color w:val="1F497D"/>
          <w:sz w:val="14"/>
          <w:szCs w:val="14"/>
        </w:rPr>
        <w:t>        </w:t>
      </w:r>
      <w:proofErr w:type="gramStart"/>
      <w:r>
        <w:rPr>
          <w:rFonts w:ascii="Calibri" w:hAnsi="Calibri" w:cs="Calibri"/>
          <w:color w:val="1F497D"/>
          <w:sz w:val="22"/>
          <w:szCs w:val="22"/>
        </w:rPr>
        <w:t>the</w:t>
      </w:r>
      <w:proofErr w:type="gramEnd"/>
      <w:r>
        <w:rPr>
          <w:rFonts w:ascii="Calibri" w:hAnsi="Calibri" w:cs="Calibri"/>
          <w:color w:val="1F497D"/>
          <w:sz w:val="22"/>
          <w:szCs w:val="22"/>
        </w:rPr>
        <w:t xml:space="preserve"> pros and cons of providing these courses through individual law schools, by cooperatives of law schools, and by commercial vendors; </w:t>
      </w:r>
    </w:p>
    <w:p w:rsidR="005322DA" w:rsidRDefault="005322DA" w:rsidP="00491197">
      <w:pPr>
        <w:pStyle w:val="ListParagraph"/>
        <w:ind w:hanging="360"/>
        <w:jc w:val="both"/>
        <w:rPr>
          <w:color w:val="000000"/>
        </w:rPr>
      </w:pPr>
      <w:r w:rsidRPr="005322DA">
        <w:rPr>
          <w:rFonts w:asciiTheme="minorHAnsi" w:hAnsiTheme="minorHAnsi" w:cstheme="minorHAnsi"/>
          <w:color w:val="1F497D"/>
          <w:sz w:val="22"/>
          <w:szCs w:val="22"/>
        </w:rPr>
        <w:t>·      </w:t>
      </w:r>
      <w:proofErr w:type="gramStart"/>
      <w:r w:rsidRPr="005322DA">
        <w:rPr>
          <w:rFonts w:asciiTheme="minorHAnsi" w:hAnsiTheme="minorHAnsi" w:cstheme="minorHAnsi"/>
          <w:color w:val="1F497D"/>
          <w:sz w:val="22"/>
          <w:szCs w:val="22"/>
        </w:rPr>
        <w:t>online</w:t>
      </w:r>
      <w:proofErr w:type="gramEnd"/>
      <w:r w:rsidRPr="005322DA">
        <w:rPr>
          <w:rFonts w:asciiTheme="minorHAnsi" w:hAnsiTheme="minorHAnsi" w:cstheme="minorHAnsi"/>
          <w:color w:val="1F497D"/>
          <w:sz w:val="22"/>
          <w:szCs w:val="22"/>
        </w:rPr>
        <w:t xml:space="preserve"> teaching by faculty not in residence and its </w:t>
      </w:r>
      <w:r>
        <w:rPr>
          <w:rFonts w:ascii="Calibri" w:hAnsi="Calibri" w:cs="Calibri"/>
          <w:color w:val="1F497D"/>
          <w:sz w:val="22"/>
          <w:szCs w:val="22"/>
        </w:rPr>
        <w:t xml:space="preserve">impact on students and on law school collegiality; </w:t>
      </w:r>
      <w:r>
        <w:rPr>
          <w:color w:val="1F497D"/>
          <w:sz w:val="14"/>
          <w:szCs w:val="14"/>
        </w:rPr>
        <w:t xml:space="preserve"> </w:t>
      </w:r>
    </w:p>
    <w:p w:rsidR="005322DA" w:rsidRDefault="005322DA" w:rsidP="00491197">
      <w:pPr>
        <w:pStyle w:val="ListParagraph"/>
        <w:ind w:hanging="360"/>
        <w:jc w:val="both"/>
        <w:rPr>
          <w:color w:val="000000"/>
        </w:rPr>
      </w:pPr>
      <w:r>
        <w:rPr>
          <w:color w:val="1F497D"/>
          <w:sz w:val="22"/>
          <w:szCs w:val="22"/>
        </w:rPr>
        <w:t>·</w:t>
      </w:r>
      <w:r>
        <w:rPr>
          <w:color w:val="1F497D"/>
          <w:sz w:val="14"/>
          <w:szCs w:val="14"/>
        </w:rPr>
        <w:t>        </w:t>
      </w:r>
      <w:proofErr w:type="gramStart"/>
      <w:r>
        <w:rPr>
          <w:rFonts w:ascii="Calibri" w:hAnsi="Calibri" w:cs="Calibri"/>
          <w:color w:val="1F497D"/>
          <w:sz w:val="22"/>
          <w:szCs w:val="22"/>
        </w:rPr>
        <w:t>encouraging</w:t>
      </w:r>
      <w:proofErr w:type="gramEnd"/>
      <w:r>
        <w:rPr>
          <w:rFonts w:ascii="Calibri" w:hAnsi="Calibri" w:cs="Calibri"/>
          <w:color w:val="1F497D"/>
          <w:sz w:val="22"/>
          <w:szCs w:val="22"/>
        </w:rPr>
        <w:t xml:space="preserve"> or discouraging faculty to migrate traditionally taught courses to online platforms; </w:t>
      </w:r>
    </w:p>
    <w:p w:rsidR="005322DA" w:rsidRDefault="005322DA" w:rsidP="00491197">
      <w:pPr>
        <w:pStyle w:val="ListParagraph"/>
        <w:ind w:hanging="360"/>
        <w:jc w:val="both"/>
        <w:rPr>
          <w:color w:val="000000"/>
        </w:rPr>
      </w:pPr>
      <w:r>
        <w:rPr>
          <w:color w:val="1F497D"/>
          <w:sz w:val="22"/>
          <w:szCs w:val="22"/>
        </w:rPr>
        <w:t>·</w:t>
      </w:r>
      <w:r>
        <w:rPr>
          <w:color w:val="1F497D"/>
          <w:sz w:val="14"/>
          <w:szCs w:val="14"/>
        </w:rPr>
        <w:t>       </w:t>
      </w:r>
      <w:proofErr w:type="gramStart"/>
      <w:r>
        <w:rPr>
          <w:rFonts w:ascii="Calibri" w:hAnsi="Calibri" w:cs="Calibri"/>
          <w:color w:val="1F497D"/>
          <w:sz w:val="22"/>
          <w:szCs w:val="22"/>
        </w:rPr>
        <w:t>the</w:t>
      </w:r>
      <w:proofErr w:type="gramEnd"/>
      <w:r>
        <w:rPr>
          <w:rFonts w:ascii="Calibri" w:hAnsi="Calibri" w:cs="Calibri"/>
          <w:color w:val="1F497D"/>
          <w:sz w:val="22"/>
          <w:szCs w:val="22"/>
        </w:rPr>
        <w:t xml:space="preserve"> nuts and bolts of successfully migrating a course; </w:t>
      </w:r>
    </w:p>
    <w:p w:rsidR="005322DA" w:rsidRDefault="005322DA" w:rsidP="00491197">
      <w:pPr>
        <w:pStyle w:val="ListParagraph"/>
        <w:ind w:hanging="360"/>
        <w:jc w:val="both"/>
        <w:rPr>
          <w:color w:val="000000"/>
        </w:rPr>
      </w:pPr>
      <w:r>
        <w:rPr>
          <w:color w:val="1F497D"/>
          <w:sz w:val="22"/>
          <w:szCs w:val="22"/>
        </w:rPr>
        <w:t>·</w:t>
      </w:r>
      <w:r w:rsidR="00491197">
        <w:rPr>
          <w:color w:val="1F497D"/>
          <w:sz w:val="14"/>
          <w:szCs w:val="14"/>
        </w:rPr>
        <w:t>       </w:t>
      </w:r>
      <w:r>
        <w:rPr>
          <w:rFonts w:ascii="Calibri" w:hAnsi="Calibri" w:cs="Calibri"/>
          <w:color w:val="1F497D"/>
          <w:sz w:val="22"/>
          <w:szCs w:val="22"/>
        </w:rPr>
        <w:t>ABA standard 306, variances, and experiences with the provision’s interpretation and enforcement;</w:t>
      </w:r>
    </w:p>
    <w:p w:rsidR="005322DA" w:rsidRDefault="005322DA" w:rsidP="00491197">
      <w:pPr>
        <w:pStyle w:val="ListParagraph"/>
        <w:ind w:hanging="360"/>
        <w:jc w:val="both"/>
        <w:rPr>
          <w:color w:val="000000"/>
        </w:rPr>
      </w:pPr>
      <w:r>
        <w:rPr>
          <w:color w:val="1F497D"/>
          <w:sz w:val="22"/>
          <w:szCs w:val="22"/>
        </w:rPr>
        <w:t>·</w:t>
      </w:r>
      <w:r>
        <w:rPr>
          <w:color w:val="1F497D"/>
          <w:sz w:val="14"/>
          <w:szCs w:val="14"/>
        </w:rPr>
        <w:t>        </w:t>
      </w:r>
      <w:proofErr w:type="gramStart"/>
      <w:r>
        <w:rPr>
          <w:rFonts w:ascii="Calibri" w:hAnsi="Calibri" w:cs="Calibri"/>
          <w:color w:val="1F497D"/>
          <w:sz w:val="22"/>
          <w:szCs w:val="22"/>
        </w:rPr>
        <w:t>the</w:t>
      </w:r>
      <w:proofErr w:type="gramEnd"/>
      <w:r>
        <w:rPr>
          <w:rFonts w:ascii="Calibri" w:hAnsi="Calibri" w:cs="Calibri"/>
          <w:color w:val="1F497D"/>
          <w:sz w:val="22"/>
          <w:szCs w:val="22"/>
        </w:rPr>
        <w:t xml:space="preserve"> benefits and risks to traditional faculty and law schools of moving in the distance education direction.   </w:t>
      </w:r>
    </w:p>
    <w:p w:rsidR="00295A3A" w:rsidRDefault="005322DA" w:rsidP="005322DA">
      <w:pPr>
        <w:rPr>
          <w:rFonts w:ascii="Calibri" w:hAnsi="Calibri" w:cs="Calibri"/>
          <w:color w:val="1F497D"/>
          <w:sz w:val="22"/>
          <w:szCs w:val="22"/>
        </w:rPr>
      </w:pPr>
      <w:r>
        <w:rPr>
          <w:rFonts w:ascii="Calibri" w:hAnsi="Calibri" w:cs="Calibri"/>
          <w:color w:val="1F497D"/>
          <w:sz w:val="22"/>
          <w:szCs w:val="22"/>
        </w:rPr>
        <w:t>Please provide the topic and description of your paper or proposal in 300 or fewer words.  If you are suggesting a speaker with expertise on the topic, please identify the person, the person’s expertise, and whether the person is willing to present.  (Include a CV for any proposed speakers.)  We are interested in putting together a panel of presenters with expertise and experience in the areas noted above and in other areas related to this topic and with a diversity of views on the topic.</w:t>
      </w:r>
      <w:bookmarkStart w:id="0" w:name="_GoBack"/>
      <w:bookmarkEnd w:id="0"/>
      <w:r>
        <w:rPr>
          <w:rFonts w:ascii="Calibri" w:hAnsi="Calibri" w:cs="Calibri"/>
          <w:color w:val="1F497D"/>
          <w:sz w:val="22"/>
          <w:szCs w:val="22"/>
        </w:rPr>
        <w:t>   </w:t>
      </w:r>
    </w:p>
    <w:p w:rsidR="00295A3A" w:rsidRDefault="00295A3A" w:rsidP="005322DA">
      <w:pPr>
        <w:rPr>
          <w:rFonts w:ascii="Calibri" w:hAnsi="Calibri" w:cs="Calibri"/>
          <w:color w:val="1F497D"/>
          <w:sz w:val="22"/>
          <w:szCs w:val="22"/>
        </w:rPr>
      </w:pPr>
    </w:p>
    <w:p w:rsidR="004568E2" w:rsidRDefault="00295A3A" w:rsidP="005322DA">
      <w:pPr>
        <w:rPr>
          <w:rFonts w:ascii="Calibri" w:hAnsi="Calibri" w:cs="Calibri"/>
          <w:color w:val="1F497D"/>
          <w:sz w:val="22"/>
          <w:szCs w:val="22"/>
        </w:rPr>
      </w:pPr>
      <w:r>
        <w:rPr>
          <w:rFonts w:ascii="Calibri" w:hAnsi="Calibri" w:cs="Calibri"/>
          <w:color w:val="1F497D"/>
          <w:sz w:val="22"/>
          <w:szCs w:val="22"/>
        </w:rPr>
        <w:t xml:space="preserve">All proposals should be sent to Mary Garvey Algero, </w:t>
      </w:r>
      <w:hyperlink r:id="rId5" w:tgtFrame="_blank" w:history="1">
        <w:r>
          <w:rPr>
            <w:rStyle w:val="Hyperlink"/>
            <w:rFonts w:ascii="Calibri" w:hAnsi="Calibri" w:cs="Calibri"/>
            <w:sz w:val="22"/>
            <w:szCs w:val="22"/>
          </w:rPr>
          <w:t>algero@loyno.edu</w:t>
        </w:r>
      </w:hyperlink>
      <w:r>
        <w:rPr>
          <w:rFonts w:ascii="Calibri" w:hAnsi="Calibri" w:cs="Calibri"/>
          <w:color w:val="1F497D"/>
          <w:sz w:val="22"/>
          <w:szCs w:val="22"/>
        </w:rPr>
        <w:t xml:space="preserve">, on or before </w:t>
      </w:r>
      <w:r>
        <w:rPr>
          <w:rFonts w:ascii="Calibri" w:hAnsi="Calibri" w:cs="Calibri"/>
          <w:b/>
          <w:bCs/>
          <w:color w:val="1F497D"/>
          <w:sz w:val="22"/>
          <w:szCs w:val="22"/>
        </w:rPr>
        <w:t xml:space="preserve">Friday, May </w:t>
      </w:r>
      <w:r w:rsidR="00393BB4">
        <w:rPr>
          <w:rFonts w:ascii="Calibri" w:hAnsi="Calibri" w:cs="Calibri"/>
          <w:b/>
          <w:bCs/>
          <w:color w:val="1F497D"/>
          <w:sz w:val="22"/>
          <w:szCs w:val="22"/>
        </w:rPr>
        <w:t>24</w:t>
      </w:r>
      <w:r>
        <w:rPr>
          <w:rFonts w:ascii="Calibri" w:hAnsi="Calibri" w:cs="Calibri"/>
          <w:b/>
          <w:bCs/>
          <w:color w:val="1F497D"/>
          <w:sz w:val="22"/>
          <w:szCs w:val="22"/>
        </w:rPr>
        <w:t>, 2017</w:t>
      </w:r>
      <w:r>
        <w:rPr>
          <w:rFonts w:ascii="Calibri" w:hAnsi="Calibri" w:cs="Calibri"/>
          <w:color w:val="1F497D"/>
          <w:sz w:val="22"/>
          <w:szCs w:val="22"/>
        </w:rPr>
        <w:t>.</w:t>
      </w:r>
      <w:r w:rsidR="004568E2">
        <w:rPr>
          <w:rFonts w:ascii="Calibri" w:hAnsi="Calibri" w:cs="Calibri"/>
          <w:color w:val="1F497D"/>
          <w:sz w:val="22"/>
          <w:szCs w:val="22"/>
        </w:rPr>
        <w:t xml:space="preserve">  The session has been scheduled in San Diego on Wednesday, January 3, 2018, from 2:00-5:00 p.m.</w:t>
      </w:r>
    </w:p>
    <w:p w:rsidR="004568E2" w:rsidRDefault="004568E2" w:rsidP="005322DA">
      <w:pPr>
        <w:rPr>
          <w:rFonts w:ascii="Calibri" w:hAnsi="Calibri" w:cs="Calibri"/>
          <w:color w:val="1F497D"/>
          <w:sz w:val="22"/>
          <w:szCs w:val="22"/>
        </w:rPr>
      </w:pPr>
    </w:p>
    <w:p w:rsidR="004568E2" w:rsidRDefault="004568E2" w:rsidP="005322DA">
      <w:pPr>
        <w:rPr>
          <w:rFonts w:ascii="Calibri" w:hAnsi="Calibri" w:cs="Calibri"/>
          <w:color w:val="1F497D"/>
          <w:sz w:val="22"/>
          <w:szCs w:val="22"/>
        </w:rPr>
      </w:pPr>
      <w:r>
        <w:rPr>
          <w:rFonts w:ascii="Calibri" w:hAnsi="Calibri" w:cs="Calibri"/>
          <w:color w:val="1F497D"/>
          <w:sz w:val="22"/>
          <w:szCs w:val="22"/>
        </w:rPr>
        <w:t>The program committee looks forward to receiving your proposals.</w:t>
      </w:r>
    </w:p>
    <w:p w:rsidR="004568E2" w:rsidRDefault="004568E2" w:rsidP="005322DA">
      <w:pPr>
        <w:rPr>
          <w:rFonts w:ascii="Calibri" w:hAnsi="Calibri" w:cs="Calibri"/>
          <w:color w:val="1F497D"/>
          <w:sz w:val="22"/>
          <w:szCs w:val="22"/>
        </w:rPr>
      </w:pPr>
      <w:r>
        <w:rPr>
          <w:rFonts w:ascii="Calibri" w:hAnsi="Calibri" w:cs="Calibri"/>
          <w:color w:val="1F497D"/>
          <w:sz w:val="22"/>
          <w:szCs w:val="22"/>
        </w:rPr>
        <w:t>Mary Garvey Algero (Loyola New Orleans) chair</w:t>
      </w:r>
    </w:p>
    <w:p w:rsidR="00F96E04" w:rsidRDefault="00F96E04" w:rsidP="005322DA">
      <w:pPr>
        <w:rPr>
          <w:rFonts w:ascii="Calibri" w:hAnsi="Calibri" w:cs="Calibri"/>
          <w:color w:val="1F497D"/>
          <w:sz w:val="22"/>
          <w:szCs w:val="22"/>
        </w:rPr>
      </w:pPr>
      <w:r>
        <w:rPr>
          <w:rFonts w:ascii="Calibri" w:hAnsi="Calibri" w:cs="Calibri"/>
          <w:color w:val="1F497D"/>
          <w:sz w:val="22"/>
          <w:szCs w:val="22"/>
        </w:rPr>
        <w:t xml:space="preserve">Aviva </w:t>
      </w:r>
      <w:proofErr w:type="spellStart"/>
      <w:r>
        <w:rPr>
          <w:rFonts w:ascii="Calibri" w:hAnsi="Calibri" w:cs="Calibri"/>
          <w:color w:val="1F497D"/>
          <w:sz w:val="22"/>
          <w:szCs w:val="22"/>
        </w:rPr>
        <w:t>Abramovsky</w:t>
      </w:r>
      <w:proofErr w:type="spellEnd"/>
      <w:r>
        <w:rPr>
          <w:rFonts w:ascii="Calibri" w:hAnsi="Calibri" w:cs="Calibri"/>
          <w:color w:val="1F497D"/>
          <w:sz w:val="22"/>
          <w:szCs w:val="22"/>
        </w:rPr>
        <w:t xml:space="preserve"> (Syracuse University)</w:t>
      </w:r>
      <w:r w:rsidR="004568E2">
        <w:rPr>
          <w:rFonts w:ascii="Calibri" w:hAnsi="Calibri" w:cs="Calibri"/>
          <w:color w:val="1F497D"/>
          <w:sz w:val="22"/>
          <w:szCs w:val="22"/>
        </w:rPr>
        <w:t xml:space="preserve"> </w:t>
      </w:r>
    </w:p>
    <w:p w:rsidR="00F96E04" w:rsidRDefault="00F96E04" w:rsidP="005322DA">
      <w:pPr>
        <w:rPr>
          <w:rFonts w:ascii="Calibri" w:hAnsi="Calibri" w:cs="Calibri"/>
          <w:color w:val="1F497D"/>
          <w:sz w:val="22"/>
          <w:szCs w:val="22"/>
        </w:rPr>
      </w:pPr>
      <w:r>
        <w:rPr>
          <w:rFonts w:ascii="Calibri" w:hAnsi="Calibri" w:cs="Calibri"/>
          <w:color w:val="1F497D"/>
          <w:sz w:val="22"/>
          <w:szCs w:val="22"/>
        </w:rPr>
        <w:t>Marcilynn Burke (University of Houston)</w:t>
      </w:r>
    </w:p>
    <w:p w:rsidR="00F96E04" w:rsidRDefault="00F96E04" w:rsidP="005322DA">
      <w:pPr>
        <w:rPr>
          <w:rFonts w:ascii="Calibri" w:hAnsi="Calibri" w:cs="Calibri"/>
          <w:color w:val="1F497D"/>
          <w:sz w:val="22"/>
          <w:szCs w:val="22"/>
        </w:rPr>
      </w:pPr>
      <w:r>
        <w:rPr>
          <w:rFonts w:ascii="Calibri" w:hAnsi="Calibri" w:cs="Calibri"/>
          <w:color w:val="1F497D"/>
          <w:sz w:val="22"/>
          <w:szCs w:val="22"/>
        </w:rPr>
        <w:t>Alexander Capron (University of Southern California)</w:t>
      </w:r>
    </w:p>
    <w:p w:rsidR="00F96E04" w:rsidRDefault="00F96E04" w:rsidP="005322DA">
      <w:pPr>
        <w:rPr>
          <w:rFonts w:ascii="Calibri" w:hAnsi="Calibri" w:cs="Calibri"/>
          <w:color w:val="1F497D"/>
          <w:sz w:val="22"/>
          <w:szCs w:val="22"/>
        </w:rPr>
      </w:pPr>
      <w:proofErr w:type="spellStart"/>
      <w:r>
        <w:rPr>
          <w:rFonts w:ascii="Calibri" w:hAnsi="Calibri" w:cs="Calibri"/>
          <w:color w:val="1F497D"/>
          <w:sz w:val="22"/>
          <w:szCs w:val="22"/>
        </w:rPr>
        <w:t>Natt</w:t>
      </w:r>
      <w:proofErr w:type="spellEnd"/>
      <w:r>
        <w:rPr>
          <w:rFonts w:ascii="Calibri" w:hAnsi="Calibri" w:cs="Calibri"/>
          <w:color w:val="1F497D"/>
          <w:sz w:val="22"/>
          <w:szCs w:val="22"/>
        </w:rPr>
        <w:t xml:space="preserve"> Gantt (Regent University)</w:t>
      </w:r>
    </w:p>
    <w:p w:rsidR="00F96E04" w:rsidRDefault="00F96E04" w:rsidP="005322DA">
      <w:pPr>
        <w:rPr>
          <w:rFonts w:ascii="Calibri" w:hAnsi="Calibri" w:cs="Calibri"/>
          <w:color w:val="1F497D"/>
          <w:sz w:val="22"/>
          <w:szCs w:val="22"/>
        </w:rPr>
      </w:pPr>
      <w:r>
        <w:rPr>
          <w:rFonts w:ascii="Calibri" w:hAnsi="Calibri" w:cs="Calibri"/>
          <w:color w:val="1F497D"/>
          <w:sz w:val="22"/>
          <w:szCs w:val="22"/>
        </w:rPr>
        <w:t>Christine Hurt (Brigham Young University)</w:t>
      </w:r>
    </w:p>
    <w:p w:rsidR="005322DA" w:rsidRDefault="00F96E04" w:rsidP="005322DA">
      <w:pPr>
        <w:rPr>
          <w:color w:val="000000"/>
        </w:rPr>
      </w:pPr>
      <w:r>
        <w:rPr>
          <w:rFonts w:ascii="Calibri" w:hAnsi="Calibri" w:cs="Calibri"/>
          <w:color w:val="1F497D"/>
          <w:sz w:val="22"/>
          <w:szCs w:val="22"/>
        </w:rPr>
        <w:t>Tony Varona (American University)</w:t>
      </w:r>
      <w:r w:rsidR="00295A3A">
        <w:rPr>
          <w:rFonts w:ascii="Calibri" w:hAnsi="Calibri" w:cs="Calibri"/>
          <w:color w:val="1F497D"/>
          <w:sz w:val="22"/>
          <w:szCs w:val="22"/>
        </w:rPr>
        <w:t> </w:t>
      </w:r>
      <w:r w:rsidR="005322DA">
        <w:rPr>
          <w:rFonts w:ascii="Calibri" w:hAnsi="Calibri" w:cs="Calibri"/>
          <w:color w:val="1F497D"/>
          <w:sz w:val="22"/>
          <w:szCs w:val="22"/>
        </w:rPr>
        <w:t> </w:t>
      </w:r>
    </w:p>
    <w:p w:rsidR="003D7272" w:rsidRDefault="003D7272"/>
    <w:sectPr w:rsidR="003D72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22DA"/>
    <w:rsid w:val="00295A3A"/>
    <w:rsid w:val="00393BB4"/>
    <w:rsid w:val="003D7272"/>
    <w:rsid w:val="004568E2"/>
    <w:rsid w:val="00491197"/>
    <w:rsid w:val="005322DA"/>
    <w:rsid w:val="007915A0"/>
    <w:rsid w:val="00F96E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2D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22DA"/>
    <w:rPr>
      <w:color w:val="0000FF"/>
      <w:u w:val="single"/>
    </w:rPr>
  </w:style>
  <w:style w:type="paragraph" w:styleId="ListParagraph">
    <w:name w:val="List Paragraph"/>
    <w:basedOn w:val="Normal"/>
    <w:uiPriority w:val="34"/>
    <w:qFormat/>
    <w:rsid w:val="005322D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22DA"/>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322DA"/>
    <w:rPr>
      <w:color w:val="0000FF"/>
      <w:u w:val="single"/>
    </w:rPr>
  </w:style>
  <w:style w:type="paragraph" w:styleId="ListParagraph">
    <w:name w:val="List Paragraph"/>
    <w:basedOn w:val="Normal"/>
    <w:uiPriority w:val="34"/>
    <w:qFormat/>
    <w:rsid w:val="005322D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1888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lgero@loyno.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168</TotalTime>
  <Pages>1</Pages>
  <Words>413</Words>
  <Characters>2356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Algero</dc:creator>
  <cp:keywords/>
  <dc:description/>
  <cp:lastModifiedBy>Algero</cp:lastModifiedBy>
  <cp:revision>5</cp:revision>
  <dcterms:created xsi:type="dcterms:W3CDTF">2017-03-20T21:10:00Z</dcterms:created>
  <dcterms:modified xsi:type="dcterms:W3CDTF">2017-04-25T19:49:00Z</dcterms:modified>
</cp:coreProperties>
</file>