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jc w:val="center"/>
        <w:rPr>
          <w:rFonts w:ascii="Candara" w:hAnsi="Candara"/>
          <w:b/>
          <w:bCs/>
          <w:sz w:val="24"/>
          <w:szCs w:val="24"/>
        </w:rPr>
      </w:pPr>
      <w:bookmarkStart w:id="0" w:name="_GoBack"/>
      <w:bookmarkEnd w:id="0"/>
      <w:r w:rsidRPr="00393F1C">
        <w:rPr>
          <w:rFonts w:ascii="Candara" w:hAnsi="Candara"/>
          <w:b/>
          <w:bCs/>
          <w:sz w:val="24"/>
          <w:szCs w:val="24"/>
        </w:rPr>
        <w:t>Experiential Learning in Legal Writing Programs</w:t>
      </w: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jc w:val="center"/>
        <w:rPr>
          <w:rFonts w:ascii="Candara" w:hAnsi="Candara"/>
          <w:sz w:val="24"/>
          <w:szCs w:val="24"/>
        </w:rPr>
      </w:pPr>
      <w:r w:rsidRPr="00393F1C">
        <w:rPr>
          <w:rFonts w:ascii="Candara" w:hAnsi="Candara"/>
          <w:sz w:val="24"/>
          <w:szCs w:val="24"/>
        </w:rPr>
        <w:t>AALS Section on Legal Writing, Reasoning, &amp; Research</w:t>
      </w:r>
    </w:p>
    <w:p w:rsidR="00415DC3" w:rsidRDefault="00415DC3" w:rsidP="00415DC3">
      <w:pPr>
        <w:tabs>
          <w:tab w:val="left" w:pos="0"/>
          <w:tab w:val="center" w:pos="4680"/>
          <w:tab w:val="left" w:pos="5040"/>
          <w:tab w:val="left" w:pos="5760"/>
          <w:tab w:val="left" w:pos="6480"/>
          <w:tab w:val="left" w:pos="7200"/>
          <w:tab w:val="left" w:pos="7920"/>
          <w:tab w:val="left" w:pos="8640"/>
        </w:tabs>
        <w:spacing w:line="20" w:lineRule="atLeast"/>
        <w:jc w:val="center"/>
        <w:rPr>
          <w:rFonts w:ascii="Candara" w:hAnsi="Candara"/>
          <w:sz w:val="24"/>
          <w:szCs w:val="24"/>
        </w:rPr>
      </w:pPr>
      <w:r w:rsidRPr="00393F1C">
        <w:rPr>
          <w:rFonts w:ascii="Candara" w:hAnsi="Candara"/>
          <w:sz w:val="24"/>
          <w:szCs w:val="24"/>
        </w:rPr>
        <w:t>January 5, 2017</w:t>
      </w:r>
    </w:p>
    <w:p w:rsidR="00393F1C" w:rsidRPr="00393F1C" w:rsidRDefault="00393F1C" w:rsidP="00415DC3">
      <w:pPr>
        <w:tabs>
          <w:tab w:val="left" w:pos="0"/>
          <w:tab w:val="center" w:pos="4680"/>
          <w:tab w:val="left" w:pos="5040"/>
          <w:tab w:val="left" w:pos="5760"/>
          <w:tab w:val="left" w:pos="6480"/>
          <w:tab w:val="left" w:pos="7200"/>
          <w:tab w:val="left" w:pos="7920"/>
          <w:tab w:val="left" w:pos="8640"/>
        </w:tabs>
        <w:spacing w:line="20" w:lineRule="atLeast"/>
        <w:jc w:val="center"/>
        <w:rPr>
          <w:rFonts w:ascii="Candara" w:hAnsi="Candara"/>
          <w:sz w:val="24"/>
          <w:szCs w:val="24"/>
        </w:rPr>
      </w:pP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jc w:val="center"/>
        <w:rPr>
          <w:rFonts w:ascii="Candara" w:hAnsi="Candara"/>
          <w:sz w:val="24"/>
          <w:szCs w:val="24"/>
        </w:rPr>
      </w:pP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r w:rsidRPr="00393F1C">
        <w:rPr>
          <w:rFonts w:ascii="Candara" w:hAnsi="Candara"/>
          <w:b/>
          <w:sz w:val="24"/>
          <w:szCs w:val="24"/>
        </w:rPr>
        <w:t>ABA Standards for Approval of Law Schools 2016-2017</w:t>
      </w:r>
    </w:p>
    <w:p w:rsidR="00393F1C" w:rsidRPr="00393F1C" w:rsidRDefault="0082032A"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hyperlink r:id="rId7" w:history="1">
        <w:r w:rsidR="00393F1C" w:rsidRPr="00393F1C">
          <w:rPr>
            <w:rStyle w:val="Hyperlink"/>
            <w:rFonts w:ascii="Candara" w:hAnsi="Candara"/>
            <w:sz w:val="24"/>
            <w:szCs w:val="24"/>
          </w:rPr>
          <w:t>http://www.americanbar.org/groups/legal_education/resources/standards.html</w:t>
        </w:r>
      </w:hyperlink>
    </w:p>
    <w:p w:rsidR="00393F1C" w:rsidRPr="00393F1C" w:rsidRDefault="00393F1C"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b/>
          <w:sz w:val="24"/>
          <w:szCs w:val="24"/>
        </w:rPr>
      </w:pP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p>
    <w:p w:rsidR="00393F1C" w:rsidRPr="00393F1C" w:rsidRDefault="00415DC3" w:rsidP="00393F1C">
      <w:pPr>
        <w:tabs>
          <w:tab w:val="left" w:pos="0"/>
          <w:tab w:val="center" w:pos="4680"/>
          <w:tab w:val="left" w:pos="5040"/>
          <w:tab w:val="left" w:pos="5760"/>
          <w:tab w:val="left" w:pos="6480"/>
          <w:tab w:val="left" w:pos="7200"/>
          <w:tab w:val="left" w:pos="7920"/>
          <w:tab w:val="left" w:pos="8640"/>
        </w:tabs>
        <w:spacing w:line="20" w:lineRule="atLeast"/>
        <w:rPr>
          <w:rFonts w:ascii="Candara" w:hAnsi="Candara"/>
          <w:b/>
          <w:sz w:val="24"/>
          <w:szCs w:val="24"/>
        </w:rPr>
      </w:pPr>
      <w:r w:rsidRPr="00393F1C">
        <w:rPr>
          <w:rFonts w:ascii="Candara" w:hAnsi="Candara"/>
          <w:b/>
          <w:sz w:val="24"/>
          <w:szCs w:val="24"/>
        </w:rPr>
        <w:t>Standard 303</w:t>
      </w:r>
    </w:p>
    <w:p w:rsidR="00393F1C" w:rsidRDefault="00415DC3" w:rsidP="00393F1C">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r w:rsidRPr="00393F1C">
        <w:rPr>
          <w:rFonts w:ascii="Candara" w:hAnsi="Candara"/>
          <w:sz w:val="24"/>
          <w:szCs w:val="24"/>
        </w:rPr>
        <w:br/>
        <w:t>(a) A law school shall offer a curriculum that requires each student to satisfactorily complete at least the following:</w:t>
      </w:r>
    </w:p>
    <w:p w:rsidR="00415DC3" w:rsidRPr="00393F1C" w:rsidRDefault="00393F1C" w:rsidP="00393F1C">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lang w:val="en-CA"/>
        </w:rPr>
      </w:pPr>
      <w:r>
        <w:rPr>
          <w:rFonts w:ascii="Candara" w:hAnsi="Candara"/>
          <w:sz w:val="24"/>
          <w:szCs w:val="24"/>
        </w:rPr>
        <w:tab/>
        <w:t>***</w:t>
      </w:r>
      <w:r w:rsidR="00415DC3" w:rsidRPr="00393F1C">
        <w:rPr>
          <w:rFonts w:ascii="Candara" w:hAnsi="Candara"/>
          <w:sz w:val="24"/>
          <w:szCs w:val="24"/>
          <w:lang w:val="en-CA"/>
        </w:rPr>
        <w:br/>
        <w:t>(3) one or more experiential course(s) totaling at least six credit hours. An experiential course must be a simulation course, a law clinic, or a field placement. To satisfy this requirement, a course must be primarily experiential in nature and must:</w:t>
      </w:r>
      <w:r w:rsidR="00415DC3" w:rsidRPr="00393F1C">
        <w:rPr>
          <w:rFonts w:ascii="Candara" w:hAnsi="Candara"/>
          <w:sz w:val="24"/>
          <w:szCs w:val="24"/>
          <w:lang w:val="en-CA"/>
        </w:rPr>
        <w:br/>
      </w:r>
      <w:r w:rsidR="00415DC3" w:rsidRPr="00393F1C">
        <w:rPr>
          <w:rFonts w:ascii="Candara" w:hAnsi="Candara"/>
          <w:sz w:val="24"/>
          <w:szCs w:val="24"/>
          <w:lang w:val="en-CA"/>
        </w:rPr>
        <w:br/>
        <w:t>(i) integrate doctrine, theory, skills, and legal ethics, and engage students in performance of one or more of the professional skills identified in Standard 302;</w:t>
      </w:r>
      <w:r w:rsidR="00415DC3" w:rsidRPr="00393F1C">
        <w:rPr>
          <w:rFonts w:ascii="Candara" w:hAnsi="Candara"/>
          <w:sz w:val="24"/>
          <w:szCs w:val="24"/>
          <w:lang w:val="en-CA"/>
        </w:rPr>
        <w:br/>
      </w:r>
      <w:r w:rsidR="00415DC3" w:rsidRPr="00393F1C">
        <w:rPr>
          <w:rFonts w:ascii="Candara" w:hAnsi="Candara"/>
          <w:sz w:val="24"/>
          <w:szCs w:val="24"/>
          <w:lang w:val="en-CA"/>
        </w:rPr>
        <w:br/>
        <w:t>(ii) develop the concepts underlying the professional skills being taught;</w:t>
      </w:r>
      <w:r w:rsidRPr="00393F1C">
        <w:rPr>
          <w:rFonts w:ascii="Candara" w:hAnsi="Candara"/>
          <w:sz w:val="24"/>
          <w:szCs w:val="24"/>
          <w:lang w:val="en-CA"/>
        </w:rPr>
        <w:br/>
      </w:r>
      <w:r w:rsidRPr="00393F1C">
        <w:rPr>
          <w:rFonts w:ascii="Candara" w:hAnsi="Candara"/>
          <w:sz w:val="24"/>
          <w:szCs w:val="24"/>
          <w:lang w:val="en-CA"/>
        </w:rPr>
        <w:br/>
      </w:r>
      <w:r w:rsidR="00415DC3" w:rsidRPr="00393F1C">
        <w:rPr>
          <w:rFonts w:ascii="Candara" w:hAnsi="Candara"/>
          <w:sz w:val="24"/>
          <w:szCs w:val="24"/>
          <w:lang w:val="en-CA"/>
        </w:rPr>
        <w:t>(iii) provide multiple opportunities for performance: and</w:t>
      </w:r>
      <w:r w:rsidR="00415DC3" w:rsidRPr="00393F1C">
        <w:rPr>
          <w:rFonts w:ascii="Candara" w:hAnsi="Candara"/>
          <w:sz w:val="24"/>
          <w:szCs w:val="24"/>
          <w:lang w:val="en-CA"/>
        </w:rPr>
        <w:br/>
      </w:r>
      <w:r w:rsidR="00415DC3" w:rsidRPr="00393F1C">
        <w:rPr>
          <w:rFonts w:ascii="Candara" w:hAnsi="Candara"/>
          <w:sz w:val="24"/>
          <w:szCs w:val="24"/>
          <w:lang w:val="en-CA"/>
        </w:rPr>
        <w:br/>
        <w:t xml:space="preserve">(iv) provide opportunities for self-evaluation. </w:t>
      </w:r>
    </w:p>
    <w:p w:rsidR="00393F1C" w:rsidRPr="00393F1C" w:rsidRDefault="00393F1C" w:rsidP="00393F1C">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lang w:val="en-CA"/>
        </w:rPr>
      </w:pP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ind w:left="720"/>
        <w:jc w:val="both"/>
        <w:rPr>
          <w:rFonts w:ascii="Candara" w:hAnsi="Candara"/>
          <w:sz w:val="24"/>
          <w:szCs w:val="24"/>
          <w:lang w:val="en-CA"/>
        </w:rPr>
      </w:pPr>
    </w:p>
    <w:p w:rsidR="00393F1C"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b/>
          <w:sz w:val="24"/>
          <w:szCs w:val="24"/>
        </w:rPr>
      </w:pPr>
      <w:r w:rsidRPr="00393F1C">
        <w:rPr>
          <w:rFonts w:ascii="Candara" w:hAnsi="Candara"/>
          <w:b/>
          <w:sz w:val="24"/>
          <w:szCs w:val="24"/>
        </w:rPr>
        <w:t>Standard 304</w:t>
      </w: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r w:rsidRPr="00393F1C">
        <w:rPr>
          <w:rFonts w:ascii="Candara" w:hAnsi="Candara"/>
          <w:b/>
          <w:sz w:val="24"/>
          <w:szCs w:val="24"/>
        </w:rPr>
        <w:br/>
      </w:r>
      <w:r w:rsidRPr="00393F1C">
        <w:rPr>
          <w:rFonts w:ascii="Candara" w:hAnsi="Candara"/>
          <w:sz w:val="24"/>
          <w:szCs w:val="24"/>
        </w:rPr>
        <w:t xml:space="preserve">(a) A simulation course provides substantial experience not involving an actual client, that (1) is reasonably similar to </w:t>
      </w:r>
      <w:r w:rsidR="00393F1C">
        <w:rPr>
          <w:rFonts w:ascii="Candara" w:hAnsi="Candara"/>
          <w:sz w:val="24"/>
          <w:szCs w:val="24"/>
        </w:rPr>
        <w:t>t</w:t>
      </w:r>
      <w:r w:rsidRPr="00393F1C">
        <w:rPr>
          <w:rFonts w:ascii="Candara" w:hAnsi="Candara"/>
          <w:sz w:val="24"/>
          <w:szCs w:val="24"/>
        </w:rPr>
        <w:t>he experience of a lawyer advising or representing a client or engaging in other lawyering tasks in a set of facts and circumstances devised or adopted by a faculty member, and (2) includes the following:</w:t>
      </w:r>
      <w:r w:rsidRPr="00393F1C">
        <w:rPr>
          <w:rFonts w:ascii="Candara" w:hAnsi="Candara"/>
          <w:sz w:val="24"/>
          <w:szCs w:val="24"/>
        </w:rPr>
        <w:br/>
      </w:r>
      <w:r w:rsidRPr="00393F1C">
        <w:rPr>
          <w:rFonts w:ascii="Candara" w:hAnsi="Candara"/>
          <w:sz w:val="24"/>
          <w:szCs w:val="24"/>
        </w:rPr>
        <w:br/>
        <w:t>(i) direction supervision of the student’s performance by the faculty member;</w:t>
      </w: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r w:rsidRPr="00393F1C">
        <w:rPr>
          <w:rFonts w:ascii="Candara" w:hAnsi="Candara"/>
          <w:sz w:val="24"/>
          <w:szCs w:val="24"/>
        </w:rPr>
        <w:t>(ii) opportunities for performance, feedback from a faculty member, and self-evaluation; and</w:t>
      </w:r>
    </w:p>
    <w:p w:rsidR="00415DC3" w:rsidRPr="00393F1C"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p>
    <w:p w:rsidR="00415DC3"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r w:rsidRPr="00393F1C">
        <w:rPr>
          <w:rFonts w:ascii="Candara" w:hAnsi="Candara"/>
          <w:sz w:val="24"/>
          <w:szCs w:val="24"/>
        </w:rPr>
        <w:t xml:space="preserve">(iii) a classroom instructional component. </w:t>
      </w:r>
    </w:p>
    <w:p w:rsidR="00393F1C" w:rsidRDefault="00393F1C"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p>
    <w:p w:rsidR="00393F1C" w:rsidRPr="00393F1C" w:rsidRDefault="00393F1C"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4"/>
          <w:szCs w:val="24"/>
        </w:rPr>
      </w:pPr>
    </w:p>
    <w:p w:rsidR="00415DC3" w:rsidRDefault="00415DC3" w:rsidP="00415DC3">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rPr>
      </w:pPr>
    </w:p>
    <w:p w:rsidR="00D61A3A" w:rsidRPr="00033D3B" w:rsidRDefault="00415DC3" w:rsidP="00393F1C">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u w:val="single"/>
        </w:rPr>
      </w:pPr>
      <w:r>
        <w:rPr>
          <w:rFonts w:ascii="Candara" w:hAnsi="Candara"/>
          <w:sz w:val="22"/>
          <w:szCs w:val="22"/>
        </w:rPr>
        <w:lastRenderedPageBreak/>
        <w:tab/>
      </w:r>
      <w:r w:rsidR="00D61A3A" w:rsidRPr="00033D3B">
        <w:rPr>
          <w:rFonts w:ascii="Candara" w:hAnsi="Candara"/>
          <w:sz w:val="22"/>
          <w:szCs w:val="22"/>
          <w:lang w:val="en-CA"/>
        </w:rPr>
        <w:fldChar w:fldCharType="begin"/>
      </w:r>
      <w:r w:rsidR="00D61A3A" w:rsidRPr="00033D3B">
        <w:rPr>
          <w:rFonts w:ascii="Candara" w:hAnsi="Candara"/>
          <w:sz w:val="22"/>
          <w:szCs w:val="22"/>
          <w:lang w:val="en-CA"/>
        </w:rPr>
        <w:instrText xml:space="preserve"> SEQ CHAPTER \h \r 1</w:instrText>
      </w:r>
      <w:r w:rsidR="00D61A3A" w:rsidRPr="00033D3B">
        <w:rPr>
          <w:rFonts w:ascii="Candara" w:hAnsi="Candara"/>
          <w:sz w:val="22"/>
          <w:szCs w:val="22"/>
          <w:lang w:val="en-CA"/>
        </w:rPr>
        <w:fldChar w:fldCharType="end"/>
      </w:r>
      <w:r w:rsidR="00D61A3A" w:rsidRPr="00033D3B">
        <w:rPr>
          <w:rFonts w:ascii="Candara" w:hAnsi="Candara"/>
          <w:b/>
          <w:bCs/>
          <w:sz w:val="22"/>
          <w:szCs w:val="22"/>
          <w:u w:val="single"/>
        </w:rPr>
        <w:t>COURSE SUMMARIES</w:t>
      </w: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u w:val="single"/>
        </w:rPr>
      </w:pP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jc w:val="center"/>
        <w:rPr>
          <w:rFonts w:ascii="Candara" w:hAnsi="Candara"/>
          <w:sz w:val="22"/>
          <w:szCs w:val="22"/>
        </w:rPr>
      </w:pP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b/>
          <w:bCs/>
          <w:sz w:val="22"/>
          <w:szCs w:val="22"/>
        </w:rPr>
        <w:t xml:space="preserve">1) </w:t>
      </w:r>
      <w:r w:rsidRPr="00033D3B">
        <w:rPr>
          <w:rFonts w:ascii="Candara" w:hAnsi="Candara"/>
          <w:b/>
          <w:bCs/>
          <w:sz w:val="22"/>
          <w:szCs w:val="22"/>
          <w:u w:val="single"/>
        </w:rPr>
        <w:t>Persuasive Writing</w:t>
      </w: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Professor Helen A. Anderson</w:t>
      </w: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Professor Benjamin Halasz</w:t>
      </w: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University of Washington School of Law</w:t>
      </w:r>
    </w:p>
    <w:p w:rsidR="00D61A3A" w:rsidRPr="00033D3B" w:rsidRDefault="00D61A3A" w:rsidP="0027362E">
      <w:pPr>
        <w:tabs>
          <w:tab w:val="left" w:pos="0"/>
          <w:tab w:val="center" w:pos="4680"/>
          <w:tab w:val="left" w:pos="5040"/>
          <w:tab w:val="left" w:pos="5760"/>
          <w:tab w:val="left" w:pos="6480"/>
          <w:tab w:val="left" w:pos="7200"/>
          <w:tab w:val="left" w:pos="7920"/>
          <w:tab w:val="left" w:pos="864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ab/>
        <w:t xml:space="preserve">This optional upper-level course continues where the 1L Spring Advocacy quarter leaves off. Since we are on the quarter system, the advocacy portion of our first-year course is only 10 weeks long—hardly time enough to delve into persuasion in depth. Persuasive Writing allows students to explore written advocacy without the pressure of a moot court competition attached.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ab/>
        <w:t xml:space="preserve">The first half of the course is spent studying and practicing the elements of storytelling (writing the facts), arguing from authority, appealing to shared values, and other matters related to Aristotle’s aspects of persuasion—ethos, pathos and logos.  Students study examples of written legal advocacy and turn in regular exercises.  We use the tools of peer editing and collective commenting in class to review and revise exercises.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ab/>
        <w:t xml:space="preserve">The second half of the class is spent researching and writing a summary judgment brief. Half of the class represents the plaintiff, and half of the class represents the defendant. Students work from a simulated case file so that they experience working with facts from various sources. They write three drafts. The first draft is graded with extensive comments, and students meet with the professor to discuss the written feedback before writing their second draft. The second draft is then reviewed in a peer edit exercise with someone representing the opposite party. The third and final draft is graded and weighted most heavily.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ab/>
        <w:t>This course meets the experiential learning standards because students have multiple opportunities for performance and revision. They revise ungraded exercises after peer or faculty feedback. They revise their summary judgment brief twice after feedback from faculty  and from a peer. We incorporate and wrestle with ethical issues that arise in advocacy. In short, they experience much of what it means to write for a client in litigation, but without a real client.</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b/>
          <w:bCs/>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br w:type="page"/>
      </w:r>
      <w:r w:rsidRPr="00033D3B">
        <w:rPr>
          <w:rFonts w:ascii="Candara" w:hAnsi="Candara"/>
          <w:b/>
          <w:bCs/>
          <w:sz w:val="22"/>
          <w:szCs w:val="22"/>
        </w:rPr>
        <w:lastRenderedPageBreak/>
        <w:t xml:space="preserve">2) </w:t>
      </w:r>
      <w:r w:rsidRPr="00033D3B">
        <w:rPr>
          <w:rFonts w:ascii="Candara" w:hAnsi="Candara"/>
          <w:b/>
          <w:bCs/>
          <w:sz w:val="22"/>
          <w:szCs w:val="22"/>
          <w:u w:val="single"/>
        </w:rPr>
        <w:t xml:space="preserve">Pre-Trial Practice </w:t>
      </w:r>
      <w:r w:rsidRPr="00033D3B">
        <w:rPr>
          <w:rFonts w:ascii="Candara" w:hAnsi="Candara"/>
          <w:b/>
          <w:bCs/>
          <w:sz w:val="22"/>
          <w:szCs w:val="22"/>
        </w:rPr>
        <w:t xml:space="preserve">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Professor William S. Bailey</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University of Washington School of Law</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b/>
          <w:bCs/>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r w:rsidRPr="00033D3B">
        <w:rPr>
          <w:rFonts w:ascii="Candara" w:hAnsi="Candara"/>
          <w:sz w:val="22"/>
          <w:szCs w:val="22"/>
        </w:rPr>
        <w:t>The steep decline in the resolution of civil disputes through jury trial has caused a sharp increase in the volume of motion practice, both procedural and substantive. It has become commonplace for cases to be decided on summary judgment following discovery. This has made effective brief writing one of the most critical elements of successful litigation practice.</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r w:rsidRPr="00033D3B">
        <w:rPr>
          <w:rFonts w:ascii="Candara" w:hAnsi="Candara"/>
          <w:sz w:val="22"/>
          <w:szCs w:val="22"/>
        </w:rPr>
        <w:t xml:space="preserve">Pre-Trial Practice is an optional upper-level course that takes students through the entire pre-trial process of a case from real life, starting at the initial client interviews and culminating in a motion for summary judgment that is briefed and argued. Each student is assigned an opponent on whom to serve their complaint, answer, written discovery, and brief. Students also are grouped into small law firms of 4-5 members to discuss the evolving litigation tactics and strategies as the case proceeds. The classroom experience is dynamic, shifting back and forth between small group work and the whole class, with alternating lectures and skills performance opportunities. There is a constant focus on what will end up in the summary judgment brief.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r w:rsidRPr="00033D3B">
        <w:rPr>
          <w:rFonts w:ascii="Candara" w:hAnsi="Candara"/>
          <w:sz w:val="22"/>
          <w:szCs w:val="22"/>
        </w:rPr>
        <w:t xml:space="preserve">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r w:rsidRPr="00033D3B">
        <w:rPr>
          <w:rFonts w:ascii="Candara" w:hAnsi="Candara"/>
          <w:sz w:val="22"/>
          <w:szCs w:val="22"/>
        </w:rPr>
        <w:t xml:space="preserve">This course looks closely at legal writing from the viewpoints of behavioral psychology, social judgment principles, brain function, and how people learn best. A basic premise is that judges are subject to the same emotional influences and learning principles as any other human being. What kind of reader experience will the judge have, based on the case story, character development, argument sequencing, framing, policy grounds, and use of cultural norms?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r w:rsidRPr="00033D3B">
        <w:rPr>
          <w:rFonts w:ascii="Candara" w:hAnsi="Candara"/>
          <w:sz w:val="22"/>
          <w:szCs w:val="22"/>
        </w:rPr>
        <w:t>Behavioral psychologists have proven that the brain best retains and is persuaded by information presented in story form. Students are introduced to techniques from creative non-fiction writing to help shape their case stories in the statement of facts. In addition, instruction is given on how images properly can be combined with written arguments, powerfully infusing a film director sensitivity of visual persuasion into brief writing. Rather than the usual manner of attaching exhibits to the end, forcing a judge into cumbersome flipping back and forth between the text and the attachments, this course trains students to incorporate visuals seamlessly into their briefs. They also are exposed to effective oral argument techniques, not simply repeating what is in a brief, along with the use of multi-media tools to capture the judge’s attention.</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firstLine="360"/>
        <w:rPr>
          <w:rFonts w:ascii="Candara" w:hAnsi="Candara"/>
          <w:sz w:val="22"/>
          <w:szCs w:val="22"/>
        </w:rPr>
      </w:pPr>
      <w:r w:rsidRPr="00033D3B">
        <w:rPr>
          <w:rFonts w:ascii="Candara" w:hAnsi="Candara"/>
          <w:sz w:val="22"/>
          <w:szCs w:val="22"/>
        </w:rPr>
        <w:t xml:space="preserve">Thus, this course is experiential in every sense. Students work in teams on a single, course-long simulation that exposes them to strategic and ethical issues in litigation. It gives them multiple opportunities for performance, assessment, and revision.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b/>
          <w:bCs/>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b/>
          <w:bCs/>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b/>
          <w:bCs/>
          <w:sz w:val="22"/>
          <w:szCs w:val="22"/>
        </w:rPr>
      </w:pPr>
    </w:p>
    <w:p w:rsidR="0027362E" w:rsidRPr="00033D3B" w:rsidRDefault="0027362E">
      <w:pPr>
        <w:autoSpaceDE/>
        <w:autoSpaceDN/>
        <w:adjustRightInd/>
        <w:spacing w:after="200" w:line="276" w:lineRule="auto"/>
        <w:rPr>
          <w:rFonts w:ascii="Candara" w:hAnsi="Candara"/>
          <w:b/>
          <w:bCs/>
          <w:sz w:val="22"/>
          <w:szCs w:val="22"/>
        </w:rPr>
      </w:pPr>
      <w:r w:rsidRPr="00033D3B">
        <w:rPr>
          <w:rFonts w:ascii="Candara" w:hAnsi="Candara"/>
          <w:b/>
          <w:bCs/>
          <w:sz w:val="22"/>
          <w:szCs w:val="22"/>
        </w:rPr>
        <w:br w:type="page"/>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b/>
          <w:bCs/>
          <w:sz w:val="22"/>
          <w:szCs w:val="22"/>
          <w:u w:val="single"/>
        </w:rPr>
      </w:pPr>
      <w:r w:rsidRPr="00033D3B">
        <w:rPr>
          <w:rFonts w:ascii="Candara" w:hAnsi="Candara"/>
          <w:b/>
          <w:bCs/>
          <w:sz w:val="22"/>
          <w:szCs w:val="22"/>
        </w:rPr>
        <w:lastRenderedPageBreak/>
        <w:t>3)</w:t>
      </w:r>
      <w:r w:rsidRPr="00033D3B">
        <w:rPr>
          <w:rFonts w:ascii="Candara" w:hAnsi="Candara"/>
          <w:sz w:val="22"/>
          <w:szCs w:val="22"/>
        </w:rPr>
        <w:t xml:space="preserve"> </w:t>
      </w:r>
      <w:r w:rsidRPr="00033D3B">
        <w:rPr>
          <w:rFonts w:ascii="Candara" w:hAnsi="Candara"/>
          <w:b/>
          <w:bCs/>
          <w:sz w:val="22"/>
          <w:szCs w:val="22"/>
          <w:u w:val="single"/>
        </w:rPr>
        <w:t xml:space="preserve">Intensive Legal Writing Workshop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Professor Kathleen McGinnis</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Professor Benjamin Halasz</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University of Washington School of Law</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 xml:space="preserve">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This course, an upper-level elective, is primarily a “pure” writing course—one that uses the law as a backdrop for in-depth practice in composition and revision. The course focuses on law-trained readers’ needs for clear, concise, cohesive writing, and on how to satisfy those needs in a variety of rhetorical settings.  Students practice critical reading skills and techniques for self- and peer-editing. They receive direct instruction and practice in grammar, syntax, sentence structure and paragraph structure. In short, the course is a sort of “writing boot camp” aimed at skills that some students lack—skills that cannot always be mastered in the first-year writing course, which focuses so much on legal analysis and problem-solving.</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Assignments in the course include writing short journalistic-style articles or case reports; revising judicial opinions; and revising legal writing students have submitted previously for a course, a competition, or a job. We do </w:t>
      </w:r>
      <w:r w:rsidRPr="00033D3B">
        <w:rPr>
          <w:rFonts w:ascii="Candara" w:hAnsi="Candara"/>
          <w:i/>
          <w:iCs/>
          <w:sz w:val="22"/>
          <w:szCs w:val="22"/>
        </w:rPr>
        <w:t>not</w:t>
      </w:r>
      <w:r w:rsidRPr="00033D3B">
        <w:rPr>
          <w:rFonts w:ascii="Candara" w:hAnsi="Candara"/>
          <w:sz w:val="22"/>
          <w:szCs w:val="22"/>
        </w:rPr>
        <w:t xml:space="preserve"> ask students to do significant legal research or analysis, but instead use legal documents with which they are already familiar as a starting point for writing or revision.  In addition, students read and do exercises from the text: </w:t>
      </w:r>
      <w:r w:rsidRPr="00033D3B">
        <w:rPr>
          <w:rFonts w:ascii="Candara" w:hAnsi="Candara"/>
          <w:i/>
          <w:iCs/>
          <w:sz w:val="22"/>
          <w:szCs w:val="22"/>
        </w:rPr>
        <w:t>Style, Lessons in Clarity and Grace</w:t>
      </w:r>
      <w:r w:rsidRPr="00033D3B">
        <w:rPr>
          <w:rFonts w:ascii="Candara" w:hAnsi="Candara"/>
          <w:sz w:val="22"/>
          <w:szCs w:val="22"/>
        </w:rPr>
        <w:t>, by Joseph Williams. (Williams created the highly-regarded writing curriculum at the University of Chicago). The Williams approach to professional writing lends itself to the law school setting; it allows students to develop basic writing skills they may have missed in their undergraduate experience, while learning to apply higher-level rhetoric and composition theory to the legal writing task.</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The course also reinforces the collaborative skills students developed in their first-year legal writing course. They work in pairs or small groups on editing projects, and do group editing assignments in most class sessions. They learn by listening to how the professor and their peers would revise a particular passage of prose. They also learn to give feedback that helps their peers. They develop a shared vocabulary to use when making editing suggestions, and typically leave the class knowing that the best editors resist the urge to rewrite, and can instead guide their peers toward improvement.</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The array of assignments means that the course does not qualify as a simulation course that would satisfy ABA standards, but it </w:t>
      </w:r>
      <w:r w:rsidRPr="00033D3B">
        <w:rPr>
          <w:rFonts w:ascii="Candara" w:hAnsi="Candara"/>
          <w:i/>
          <w:iCs/>
          <w:sz w:val="22"/>
          <w:szCs w:val="22"/>
        </w:rPr>
        <w:t>is</w:t>
      </w:r>
      <w:r w:rsidRPr="00033D3B">
        <w:rPr>
          <w:rFonts w:ascii="Candara" w:hAnsi="Candara"/>
          <w:sz w:val="22"/>
          <w:szCs w:val="22"/>
        </w:rPr>
        <w:t xml:space="preserve"> experiential in the sense that students perform tasks that lawyers do in real life. We believe that teaching a combination of composition fundamentals and more sophisticated revision techniques is a terrific formula, based on the progress we see students make in this course.  </w:t>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sz w:val="22"/>
          <w:szCs w:val="22"/>
        </w:rPr>
      </w:pP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b/>
          <w:bCs/>
          <w:sz w:val="22"/>
          <w:szCs w:val="22"/>
        </w:rPr>
      </w:pPr>
      <w:r w:rsidRPr="00033D3B">
        <w:rPr>
          <w:rFonts w:ascii="Candara" w:hAnsi="Candara"/>
          <w:sz w:val="22"/>
          <w:szCs w:val="22"/>
        </w:rPr>
        <w:tab/>
      </w:r>
    </w:p>
    <w:p w:rsidR="00D61A3A"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line="20" w:lineRule="atLeast"/>
        <w:ind w:hanging="360"/>
        <w:rPr>
          <w:rFonts w:ascii="Candara" w:hAnsi="Candara"/>
          <w:b/>
          <w:bCs/>
          <w:sz w:val="22"/>
          <w:szCs w:val="22"/>
        </w:rPr>
      </w:pPr>
      <w:r w:rsidRPr="00033D3B">
        <w:rPr>
          <w:rFonts w:ascii="Candara" w:hAnsi="Candara"/>
          <w:b/>
          <w:bCs/>
          <w:sz w:val="22"/>
          <w:szCs w:val="22"/>
        </w:rPr>
        <w:tab/>
      </w:r>
    </w:p>
    <w:p w:rsidR="0027362E" w:rsidRPr="00033D3B" w:rsidRDefault="00D61A3A" w:rsidP="0027362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b/>
          <w:bCs/>
          <w:sz w:val="22"/>
          <w:szCs w:val="22"/>
        </w:rPr>
      </w:pPr>
      <w:r w:rsidRPr="00033D3B">
        <w:rPr>
          <w:rFonts w:ascii="Candara" w:hAnsi="Candara"/>
          <w:b/>
          <w:bCs/>
          <w:sz w:val="22"/>
          <w:szCs w:val="22"/>
        </w:rPr>
        <w:tab/>
      </w:r>
    </w:p>
    <w:p w:rsidR="0027362E" w:rsidRPr="00033D3B" w:rsidRDefault="0027362E">
      <w:pPr>
        <w:autoSpaceDE/>
        <w:autoSpaceDN/>
        <w:adjustRightInd/>
        <w:spacing w:after="200" w:line="276" w:lineRule="auto"/>
        <w:rPr>
          <w:rFonts w:ascii="Candara" w:hAnsi="Candara"/>
          <w:b/>
          <w:bCs/>
          <w:sz w:val="22"/>
          <w:szCs w:val="22"/>
        </w:rPr>
      </w:pPr>
      <w:r w:rsidRPr="00033D3B">
        <w:rPr>
          <w:rFonts w:ascii="Candara" w:hAnsi="Candara"/>
          <w:b/>
          <w:bCs/>
          <w:sz w:val="22"/>
          <w:szCs w:val="22"/>
        </w:rPr>
        <w:br w:type="page"/>
      </w:r>
    </w:p>
    <w:p w:rsidR="003B3062" w:rsidRPr="00033D3B" w:rsidRDefault="00D61A3A"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b/>
          <w:bCs/>
          <w:sz w:val="22"/>
          <w:szCs w:val="22"/>
        </w:rPr>
        <w:lastRenderedPageBreak/>
        <w:tab/>
      </w:r>
      <w:r w:rsidR="003B3062" w:rsidRPr="00033D3B">
        <w:rPr>
          <w:rFonts w:ascii="Candara" w:hAnsi="Candara"/>
          <w:b/>
          <w:bCs/>
          <w:sz w:val="22"/>
          <w:szCs w:val="22"/>
        </w:rPr>
        <w:t xml:space="preserve">4) </w:t>
      </w:r>
      <w:r w:rsidR="003B3062" w:rsidRPr="00033D3B">
        <w:rPr>
          <w:rFonts w:ascii="Candara" w:hAnsi="Candara"/>
          <w:b/>
          <w:bCs/>
          <w:sz w:val="22"/>
          <w:szCs w:val="22"/>
          <w:u w:val="single"/>
        </w:rPr>
        <w:t>Legal Drafting</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t>Professor Deborah Cupples</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t>University of Florida Levin College of Law</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Legal Drafting is a required, upper-level, experiential course involving simulations. While representing fictitious clients in a law-firm setting, students evaluate, draft, and edit documents that are fundamental to the practice of law: </w:t>
      </w:r>
      <w:r w:rsidRPr="00033D3B">
        <w:rPr>
          <w:rFonts w:ascii="Candara" w:hAnsi="Candara"/>
          <w:b/>
          <w:sz w:val="22"/>
          <w:szCs w:val="22"/>
        </w:rPr>
        <w:t>1)</w:t>
      </w:r>
      <w:r w:rsidRPr="00033D3B">
        <w:rPr>
          <w:rFonts w:ascii="Candara" w:hAnsi="Candara"/>
          <w:sz w:val="22"/>
          <w:szCs w:val="22"/>
        </w:rPr>
        <w:t xml:space="preserve"> </w:t>
      </w:r>
      <w:r w:rsidRPr="00033D3B">
        <w:rPr>
          <w:rFonts w:ascii="Candara" w:hAnsi="Candara"/>
          <w:b/>
          <w:sz w:val="22"/>
          <w:szCs w:val="22"/>
        </w:rPr>
        <w:t>binding documents</w:t>
      </w:r>
      <w:r w:rsidRPr="00033D3B">
        <w:rPr>
          <w:rFonts w:ascii="Candara" w:hAnsi="Candara"/>
          <w:sz w:val="22"/>
          <w:szCs w:val="22"/>
        </w:rPr>
        <w:t xml:space="preserve"> (e.g., contracts and legislation) and </w:t>
      </w:r>
      <w:r w:rsidRPr="00033D3B">
        <w:rPr>
          <w:rFonts w:ascii="Candara" w:hAnsi="Candara"/>
          <w:b/>
          <w:sz w:val="22"/>
          <w:szCs w:val="22"/>
        </w:rPr>
        <w:t>2)</w:t>
      </w:r>
      <w:r w:rsidRPr="00033D3B">
        <w:rPr>
          <w:rFonts w:ascii="Candara" w:hAnsi="Candara"/>
          <w:sz w:val="22"/>
          <w:szCs w:val="22"/>
        </w:rPr>
        <w:t xml:space="preserve"> </w:t>
      </w:r>
      <w:r w:rsidRPr="00033D3B">
        <w:rPr>
          <w:rFonts w:ascii="Candara" w:hAnsi="Candara"/>
          <w:b/>
          <w:sz w:val="22"/>
          <w:szCs w:val="22"/>
        </w:rPr>
        <w:t>litigation documents</w:t>
      </w:r>
      <w:r w:rsidRPr="00033D3B">
        <w:rPr>
          <w:rFonts w:ascii="Candara" w:hAnsi="Candara"/>
          <w:sz w:val="22"/>
          <w:szCs w:val="22"/>
        </w:rPr>
        <w:t xml:space="preserve"> (e.g., complaints and answers). To draft the documents, students must analyze and apply case law, statutes, and procedural rules.</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rPr>
          <w:rFonts w:ascii="Candara" w:hAnsi="Candara"/>
          <w:sz w:val="22"/>
          <w:szCs w:val="22"/>
        </w:rPr>
      </w:pPr>
      <w:r w:rsidRPr="00033D3B">
        <w:rPr>
          <w:rFonts w:ascii="Candara" w:hAnsi="Candara"/>
          <w:sz w:val="22"/>
          <w:szCs w:val="22"/>
        </w:rPr>
        <w:tab/>
        <w:t>Professors regularly give written feedback on students’ work. Due to how courts construe documents, professors emphasize critical reading, word choice, grammar, and clarity.</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Binding documents comprise about two-thirds of the course. Students benefit from working with those documents and from learning how courts construe them because client advocacy often involves analysis and interpretation of binding documents—whether statutes, regulations, or contracts.</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The litigation segment exposes students to documents and processes that all lawyers should be aware of because access to justice typically starts with the filing of a complaint or similar written statement of a claim. The segment also gives students a practical context for understanding material from courses such as Civil Procedure and Evidence. </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The course addresses requirements of ABA Standard 303 by giving students experience in: </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rPr>
          <w:rFonts w:ascii="Candara" w:hAnsi="Candara"/>
          <w:sz w:val="22"/>
          <w:szCs w:val="22"/>
        </w:rPr>
      </w:pPr>
      <w:r w:rsidRPr="00033D3B">
        <w:rPr>
          <w:rFonts w:ascii="Candara" w:hAnsi="Candara"/>
          <w:sz w:val="22"/>
          <w:szCs w:val="22"/>
        </w:rPr>
        <w:tab/>
        <w:t>• Reading closely and evaluating text as a court would;</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rPr>
          <w:rFonts w:ascii="Candara" w:hAnsi="Candara"/>
          <w:sz w:val="22"/>
          <w:szCs w:val="22"/>
        </w:rPr>
      </w:pPr>
      <w:r w:rsidRPr="00033D3B">
        <w:rPr>
          <w:rFonts w:ascii="Candara" w:hAnsi="Candara"/>
          <w:sz w:val="22"/>
          <w:szCs w:val="22"/>
        </w:rPr>
        <w:t xml:space="preserve"> </w:t>
      </w:r>
      <w:r w:rsidRPr="00033D3B">
        <w:rPr>
          <w:rFonts w:ascii="Candara" w:hAnsi="Candara"/>
          <w:sz w:val="22"/>
          <w:szCs w:val="22"/>
        </w:rPr>
        <w:tab/>
        <w:t>• Applying substantive law during client representation;</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ind w:left="633" w:hanging="360"/>
        <w:rPr>
          <w:rFonts w:ascii="Candara" w:hAnsi="Candara"/>
          <w:sz w:val="22"/>
          <w:szCs w:val="22"/>
        </w:rPr>
      </w:pPr>
      <w:r w:rsidRPr="00033D3B">
        <w:rPr>
          <w:rFonts w:ascii="Candara" w:hAnsi="Candara"/>
          <w:sz w:val="22"/>
          <w:szCs w:val="22"/>
        </w:rPr>
        <w:tab/>
        <w:t>• Developing facts based on client interviews and written material;</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ind w:left="633" w:hanging="360"/>
        <w:rPr>
          <w:rFonts w:ascii="Candara" w:hAnsi="Candara"/>
          <w:sz w:val="22"/>
          <w:szCs w:val="22"/>
        </w:rPr>
      </w:pPr>
      <w:r w:rsidRPr="00033D3B">
        <w:rPr>
          <w:rFonts w:ascii="Candara" w:hAnsi="Candara"/>
          <w:sz w:val="22"/>
          <w:szCs w:val="22"/>
        </w:rPr>
        <w:tab/>
        <w:t>• Drafting and editing text so that it is clear, unambiguous, precise, and correct;</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ind w:left="633" w:hanging="360"/>
        <w:rPr>
          <w:rFonts w:ascii="Candara" w:hAnsi="Candara"/>
          <w:sz w:val="22"/>
          <w:szCs w:val="22"/>
        </w:rPr>
      </w:pPr>
      <w:r w:rsidRPr="00033D3B">
        <w:rPr>
          <w:rFonts w:ascii="Candara" w:hAnsi="Candara"/>
          <w:sz w:val="22"/>
          <w:szCs w:val="22"/>
        </w:rPr>
        <w:tab/>
        <w:t xml:space="preserve">• Working collaboratively with peers; </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ind w:left="633" w:hanging="360"/>
        <w:rPr>
          <w:rFonts w:ascii="Candara" w:hAnsi="Candara"/>
          <w:sz w:val="22"/>
          <w:szCs w:val="22"/>
        </w:rPr>
      </w:pPr>
      <w:r w:rsidRPr="00033D3B">
        <w:rPr>
          <w:rFonts w:ascii="Candara" w:hAnsi="Candara"/>
          <w:sz w:val="22"/>
          <w:szCs w:val="22"/>
        </w:rPr>
        <w:tab/>
        <w:t>• Managing time efficiently by meeting regular deadlines; and</w:t>
      </w:r>
    </w:p>
    <w:p w:rsidR="003B3062" w:rsidRPr="00033D3B" w:rsidRDefault="003B3062" w:rsidP="003B306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left="630" w:hanging="360"/>
        <w:rPr>
          <w:rFonts w:ascii="Candara" w:hAnsi="Candara"/>
          <w:sz w:val="22"/>
          <w:szCs w:val="22"/>
        </w:rPr>
      </w:pPr>
      <w:r w:rsidRPr="00033D3B">
        <w:rPr>
          <w:rFonts w:ascii="Candara" w:hAnsi="Candara"/>
          <w:sz w:val="22"/>
          <w:szCs w:val="22"/>
        </w:rPr>
        <w:tab/>
        <w:t xml:space="preserve">• Considering ethical rules when representing clients. </w:t>
      </w:r>
    </w:p>
    <w:p w:rsidR="003B3062" w:rsidRPr="00033D3B" w:rsidRDefault="003B3062" w:rsidP="003B306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left="630" w:hanging="360"/>
        <w:rPr>
          <w:rFonts w:ascii="Candara" w:hAnsi="Candara"/>
          <w:sz w:val="22"/>
          <w:szCs w:val="22"/>
        </w:rPr>
      </w:pPr>
      <w:r w:rsidRPr="00033D3B">
        <w:rPr>
          <w:rFonts w:ascii="Candara" w:hAnsi="Candara"/>
          <w:sz w:val="22"/>
          <w:szCs w:val="22"/>
        </w:rPr>
        <w:t xml:space="preserve"> </w:t>
      </w:r>
    </w:p>
    <w:p w:rsidR="003B3062" w:rsidRPr="00033D3B" w:rsidRDefault="003B3062" w:rsidP="003B30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rPr>
          <w:rFonts w:ascii="Candara" w:hAnsi="Candara"/>
          <w:sz w:val="22"/>
          <w:szCs w:val="22"/>
        </w:rPr>
      </w:pPr>
      <w:r w:rsidRPr="00033D3B">
        <w:rPr>
          <w:rFonts w:ascii="Candara" w:hAnsi="Candara"/>
          <w:sz w:val="22"/>
          <w:szCs w:val="22"/>
        </w:rPr>
        <w:tab/>
        <w:t xml:space="preserve">Experiential learning is meant to help students become practice-ready; thus, input from lawyer-employers may be helpful as we strive to meet Standard 303. Recently, I found the </w:t>
      </w:r>
      <w:r w:rsidRPr="00033D3B">
        <w:rPr>
          <w:rFonts w:ascii="Candara" w:hAnsi="Candara"/>
          <w:b/>
          <w:sz w:val="22"/>
          <w:szCs w:val="22"/>
        </w:rPr>
        <w:t>Foundations for Practice Survey</w:t>
      </w:r>
      <w:r w:rsidRPr="00033D3B">
        <w:rPr>
          <w:rFonts w:ascii="Candara" w:hAnsi="Candara"/>
          <w:sz w:val="22"/>
          <w:szCs w:val="22"/>
        </w:rPr>
        <w:t xml:space="preserve"> (2016), which involved 24,000 lawyers who rated certain traits and skills in terms of which are necessary when new lawyers </w:t>
      </w:r>
      <w:r w:rsidRPr="00033D3B">
        <w:rPr>
          <w:rFonts w:ascii="Candara" w:hAnsi="Candara"/>
          <w:i/>
          <w:sz w:val="22"/>
          <w:szCs w:val="22"/>
        </w:rPr>
        <w:t>start working</w:t>
      </w:r>
      <w:r w:rsidRPr="00033D3B">
        <w:rPr>
          <w:rFonts w:ascii="Candara" w:hAnsi="Candara"/>
          <w:sz w:val="22"/>
          <w:szCs w:val="22"/>
        </w:rPr>
        <w:t xml:space="preserve"> and which are less so. A pdf of the Foundations of Practice report is located at </w:t>
      </w:r>
      <w:r w:rsidRPr="00033D3B">
        <w:rPr>
          <w:rFonts w:ascii="Candara" w:hAnsi="Candara"/>
          <w:sz w:val="22"/>
          <w:szCs w:val="22"/>
          <w:u w:val="single"/>
        </w:rPr>
        <w:t>http://iaals.du.edu</w:t>
      </w:r>
      <w:r w:rsidRPr="00033D3B">
        <w:rPr>
          <w:rFonts w:ascii="Candara" w:hAnsi="Candara"/>
          <w:sz w:val="22"/>
          <w:szCs w:val="22"/>
        </w:rPr>
        <w:t xml:space="preserve">. </w:t>
      </w:r>
    </w:p>
    <w:p w:rsidR="003B3062" w:rsidRPr="00033D3B" w:rsidRDefault="003B3062" w:rsidP="003B3062">
      <w:pPr>
        <w:autoSpaceDE/>
        <w:adjustRightInd/>
        <w:spacing w:after="200" w:line="276" w:lineRule="auto"/>
        <w:rPr>
          <w:rFonts w:ascii="Candara" w:hAnsi="Candara"/>
          <w:sz w:val="22"/>
          <w:szCs w:val="22"/>
        </w:rPr>
      </w:pPr>
      <w:r w:rsidRPr="00033D3B">
        <w:rPr>
          <w:rFonts w:ascii="Candara" w:hAnsi="Candara"/>
          <w:sz w:val="22"/>
          <w:szCs w:val="22"/>
        </w:rPr>
        <w:br w:type="page"/>
      </w:r>
    </w:p>
    <w:p w:rsidR="003B3062" w:rsidRPr="00033D3B" w:rsidRDefault="003B3062" w:rsidP="003B30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rPr>
          <w:rFonts w:ascii="Candara" w:hAnsi="Candara"/>
          <w:sz w:val="22"/>
          <w:szCs w:val="22"/>
        </w:rPr>
      </w:pPr>
      <w:r w:rsidRPr="00033D3B">
        <w:rPr>
          <w:rFonts w:ascii="Candara" w:hAnsi="Candara"/>
          <w:b/>
          <w:bCs/>
          <w:sz w:val="22"/>
          <w:szCs w:val="22"/>
        </w:rPr>
        <w:lastRenderedPageBreak/>
        <w:t xml:space="preserve">5) &amp; 6) </w:t>
      </w:r>
      <w:r w:rsidRPr="00033D3B">
        <w:rPr>
          <w:rFonts w:ascii="Candara" w:hAnsi="Candara"/>
          <w:b/>
          <w:bCs/>
          <w:sz w:val="22"/>
          <w:szCs w:val="22"/>
          <w:u w:val="single"/>
        </w:rPr>
        <w:t xml:space="preserve">Two Public Policy Practicums </w:t>
      </w:r>
    </w:p>
    <w:p w:rsidR="003B3062" w:rsidRPr="00033D3B" w:rsidRDefault="003B3062" w:rsidP="003B3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Professor Jon Mills</w:t>
      </w:r>
    </w:p>
    <w:p w:rsidR="003B3062" w:rsidRPr="00033D3B" w:rsidRDefault="003B3062" w:rsidP="003B3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Professor Deborah Cupples</w:t>
      </w:r>
    </w:p>
    <w:p w:rsidR="003B3062" w:rsidRPr="00033D3B" w:rsidRDefault="003B3062" w:rsidP="003B3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University of Florida Levin College of Law</w:t>
      </w:r>
    </w:p>
    <w:p w:rsidR="003B3062" w:rsidRPr="00033D3B" w:rsidRDefault="003B3062" w:rsidP="003B3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3B3062" w:rsidRPr="00033D3B" w:rsidRDefault="003B3062" w:rsidP="003B3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r w:rsidRPr="00033D3B">
        <w:rPr>
          <w:rFonts w:ascii="Candara" w:hAnsi="Candara"/>
          <w:b/>
          <w:bCs/>
          <w:sz w:val="22"/>
          <w:szCs w:val="22"/>
        </w:rPr>
        <w:tab/>
      </w:r>
      <w:r w:rsidRPr="00033D3B">
        <w:rPr>
          <w:rFonts w:ascii="Candara" w:hAnsi="Candara"/>
          <w:b/>
          <w:bCs/>
          <w:sz w:val="22"/>
          <w:szCs w:val="22"/>
          <w:u w:val="single"/>
        </w:rPr>
        <w:t>Both Courses</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Both courses are upper-level, elective, experiential courses. Roughly equal class time is devoted to (1) discussing substantive law and (2) team writing- and editing-exercises. Due to how courts construe constitutional provisions and legislation, we emphasize critical reading, word choice, grammar, and clarity. Both courses address requirements of ABA Standard 303 by giving students experience in: </w:t>
      </w:r>
    </w:p>
    <w:p w:rsidR="003B3062" w:rsidRPr="00033D3B" w:rsidRDefault="003B3062" w:rsidP="003B306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0" w:lineRule="atLeast"/>
        <w:ind w:hanging="360"/>
        <w:rPr>
          <w:rFonts w:ascii="Candara" w:hAnsi="Candara"/>
          <w:sz w:val="22"/>
          <w:szCs w:val="22"/>
        </w:rPr>
      </w:pP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rPr>
          <w:rFonts w:ascii="Candara" w:hAnsi="Candara"/>
          <w:sz w:val="22"/>
          <w:szCs w:val="22"/>
        </w:rPr>
      </w:pPr>
      <w:r w:rsidRPr="00033D3B">
        <w:rPr>
          <w:rFonts w:ascii="Candara" w:hAnsi="Candara"/>
          <w:sz w:val="22"/>
          <w:szCs w:val="22"/>
        </w:rPr>
        <w:tab/>
        <w:t>• Reading carefully and analyzing text as courts and diligent lawyers do;</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rPr>
          <w:rFonts w:ascii="Candara" w:hAnsi="Candara"/>
          <w:sz w:val="22"/>
          <w:szCs w:val="22"/>
        </w:rPr>
      </w:pPr>
      <w:r w:rsidRPr="00033D3B">
        <w:rPr>
          <w:rFonts w:ascii="Candara" w:hAnsi="Candara"/>
          <w:sz w:val="22"/>
          <w:szCs w:val="22"/>
        </w:rPr>
        <w:tab/>
        <w:t xml:space="preserve">• Considering the impact of case law, statutes, and constitutional provisions on students’ </w:t>
      </w:r>
      <w:r w:rsidRPr="00033D3B">
        <w:rPr>
          <w:rFonts w:ascii="Candara" w:hAnsi="Candara"/>
          <w:sz w:val="22"/>
          <w:szCs w:val="22"/>
        </w:rPr>
        <w:br/>
      </w:r>
      <w:r w:rsidRPr="00033D3B">
        <w:rPr>
          <w:rFonts w:ascii="Candara" w:hAnsi="Candara"/>
          <w:sz w:val="22"/>
          <w:szCs w:val="22"/>
        </w:rPr>
        <w:tab/>
        <w:t xml:space="preserve">   own written work; </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ind w:left="633" w:hanging="360"/>
        <w:rPr>
          <w:rFonts w:ascii="Candara" w:hAnsi="Candara"/>
          <w:sz w:val="22"/>
          <w:szCs w:val="22"/>
        </w:rPr>
      </w:pPr>
      <w:r w:rsidRPr="00033D3B">
        <w:rPr>
          <w:rFonts w:ascii="Candara" w:hAnsi="Candara"/>
          <w:sz w:val="22"/>
          <w:szCs w:val="22"/>
        </w:rPr>
        <w:tab/>
        <w:t>• Drafting and editing text so that it is clear, unambiguous, precise, and correct;</w:t>
      </w:r>
    </w:p>
    <w:p w:rsidR="003B3062" w:rsidRPr="00033D3B" w:rsidRDefault="003B3062" w:rsidP="003B3062">
      <w:pPr>
        <w:tabs>
          <w:tab w:val="left" w:pos="63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120" w:line="20" w:lineRule="atLeast"/>
        <w:ind w:left="633" w:hanging="360"/>
        <w:rPr>
          <w:rFonts w:ascii="Candara" w:hAnsi="Candara"/>
          <w:sz w:val="22"/>
          <w:szCs w:val="22"/>
        </w:rPr>
      </w:pPr>
      <w:r w:rsidRPr="00033D3B">
        <w:rPr>
          <w:rFonts w:ascii="Candara" w:hAnsi="Candara"/>
          <w:sz w:val="22"/>
          <w:szCs w:val="22"/>
        </w:rPr>
        <w:tab/>
        <w:t>• Working collaboratively with peers; and</w:t>
      </w:r>
    </w:p>
    <w:p w:rsidR="003B3062" w:rsidRPr="00033D3B" w:rsidRDefault="003B3062" w:rsidP="003B306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left="630" w:hanging="360"/>
        <w:rPr>
          <w:rFonts w:ascii="Candara" w:hAnsi="Candara"/>
          <w:sz w:val="22"/>
          <w:szCs w:val="22"/>
        </w:rPr>
      </w:pPr>
      <w:r w:rsidRPr="00033D3B">
        <w:rPr>
          <w:rFonts w:ascii="Candara" w:hAnsi="Candara"/>
          <w:sz w:val="22"/>
          <w:szCs w:val="22"/>
        </w:rPr>
        <w:tab/>
        <w:t xml:space="preserve">• Advocating for a position through oral presentations. </w:t>
      </w:r>
    </w:p>
    <w:p w:rsidR="003B3062" w:rsidRPr="00033D3B" w:rsidRDefault="003B3062" w:rsidP="003B306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left="630" w:hanging="360"/>
        <w:rPr>
          <w:rFonts w:ascii="Candara" w:hAnsi="Candara"/>
          <w:sz w:val="22"/>
          <w:szCs w:val="22"/>
        </w:rPr>
      </w:pPr>
    </w:p>
    <w:p w:rsidR="003B3062" w:rsidRPr="00033D3B" w:rsidRDefault="003B3062" w:rsidP="003B3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r w:rsidRPr="00033D3B">
        <w:rPr>
          <w:rFonts w:ascii="Candara" w:hAnsi="Candara"/>
          <w:b/>
          <w:bCs/>
          <w:sz w:val="22"/>
          <w:szCs w:val="22"/>
        </w:rPr>
        <w:tab/>
        <w:t xml:space="preserve">5)  </w:t>
      </w:r>
      <w:r w:rsidRPr="00033D3B">
        <w:rPr>
          <w:rFonts w:ascii="Candara" w:hAnsi="Candara"/>
          <w:b/>
          <w:bCs/>
          <w:sz w:val="22"/>
          <w:szCs w:val="22"/>
          <w:u w:val="single"/>
        </w:rPr>
        <w:t>Legislative Interpretation and Drafting Course</w:t>
      </w: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Students learned about the legislative process, how courts construe legislation, the interplay between state and federal law, and the Florida and U.S. Constitutions’ impact on legislative interpretation and drafting. </w:t>
      </w: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 xml:space="preserve">We conducted simulations of Florida House floor debates, based on House rules. Students played roles: committee member, bill sponsor, lobbyist supporting the bill, or lobbyist opposing the bill.  The final exam was a teaching tool as well as a test, which included 1) short-answer questions and 2) exercises requiring evaluation, editing, and drafting of legislation. </w:t>
      </w: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r w:rsidRPr="00033D3B">
        <w:rPr>
          <w:rFonts w:ascii="Candara" w:hAnsi="Candara"/>
          <w:b/>
          <w:bCs/>
          <w:sz w:val="22"/>
          <w:szCs w:val="22"/>
        </w:rPr>
        <w:tab/>
        <w:t xml:space="preserve">6)  </w:t>
      </w:r>
      <w:r w:rsidRPr="00033D3B">
        <w:rPr>
          <w:rFonts w:ascii="Candara" w:hAnsi="Candara"/>
          <w:b/>
          <w:bCs/>
          <w:sz w:val="22"/>
          <w:szCs w:val="22"/>
          <w:u w:val="single"/>
        </w:rPr>
        <w:t>Florida Constitution Revision Commission Course</w:t>
      </w:r>
      <w:r w:rsidRPr="00033D3B">
        <w:rPr>
          <w:rFonts w:ascii="Candara" w:hAnsi="Candara"/>
          <w:sz w:val="22"/>
          <w:szCs w:val="22"/>
        </w:rPr>
        <w:tab/>
      </w: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t xml:space="preserve">Students learned about 1) the Florida Constitution Revision Commission, which is appointed every 20 years to review the state constitution and propose amendments; 2) the initiative-petition process; 3) the interplay between the Florida and U.S. Constitutions; and </w:t>
      </w: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4) how courts interpret constitutional provisions. We also presented case studies about adopted amendments and related litigation.</w:t>
      </w: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r>
    </w:p>
    <w:p w:rsidR="003B3062"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For the final project, each student drafted a proposed state-constitutional amendment and wrote a paper supporting its passage.  Students also advocated for their positions during in-class presentations, which included question-and-answer sessions.</w:t>
      </w:r>
    </w:p>
    <w:p w:rsidR="00033D3B" w:rsidRPr="00033D3B" w:rsidRDefault="00033D3B"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3B3062" w:rsidRPr="00033D3B" w:rsidRDefault="003B3062" w:rsidP="003B3062">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3B3062" w:rsidRPr="00033D3B" w:rsidRDefault="003B3062"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b/>
          <w:bCs/>
          <w:sz w:val="22"/>
          <w:szCs w:val="22"/>
        </w:rPr>
      </w:pPr>
    </w:p>
    <w:p w:rsidR="00D61A3A" w:rsidRPr="00033D3B" w:rsidRDefault="003B3062"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b/>
          <w:bCs/>
          <w:sz w:val="22"/>
          <w:szCs w:val="22"/>
        </w:rPr>
        <w:lastRenderedPageBreak/>
        <w:tab/>
      </w:r>
      <w:r w:rsidR="00D61A3A" w:rsidRPr="00033D3B">
        <w:rPr>
          <w:rFonts w:ascii="Candara" w:hAnsi="Candara"/>
          <w:b/>
          <w:bCs/>
          <w:sz w:val="22"/>
          <w:szCs w:val="22"/>
        </w:rPr>
        <w:t xml:space="preserve">7) </w:t>
      </w:r>
      <w:r w:rsidR="00D61A3A" w:rsidRPr="00033D3B">
        <w:rPr>
          <w:rFonts w:ascii="Candara" w:hAnsi="Candara"/>
          <w:b/>
          <w:bCs/>
          <w:sz w:val="22"/>
          <w:szCs w:val="22"/>
          <w:u w:val="single"/>
        </w:rPr>
        <w:t>Health Regulatory Process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Associate Professor Jessica Mantel</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Assistant Clinical Professor Lauren Jansen Simpson (Lawyering Skills and Strategies)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University of Houston Law Center</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This course explores how legal and policy considerations, intra-governmental relationships, and political dynamics influence health regulatory policies. The course satisfies the Law Center’s upper-level writing requirement, as a “Writing Course.</w:t>
      </w:r>
      <w:r w:rsidR="00F4663F" w:rsidRPr="00033D3B">
        <w:rPr>
          <w:rFonts w:ascii="Candara" w:hAnsi="Candara"/>
          <w:sz w:val="22"/>
          <w:szCs w:val="22"/>
        </w:rPr>
        <w:t>”</w:t>
      </w:r>
      <w:r w:rsidRPr="00033D3B">
        <w:rPr>
          <w:rFonts w:ascii="Candara" w:hAnsi="Candara"/>
          <w:sz w:val="22"/>
          <w:szCs w:val="22"/>
        </w:rPr>
        <w:t xml:space="preserve"> In such courses, students draft multiple practical-writing assignments, such as articles akin to those appearing in professional or bar journals, client letters, office memoranda, demand letters, pleadings, contracts, wills, etc. Each assignment is generally limited to 2,500 words, when possible, and students must complete at least 5,000 words of writing over the course. In the Health Regulatory Process course, students write two client-advice letters: the first from an aide to a U.S. Representative evaluating proposed legislation, and the second from a federal agency’s office of general counsel to agency officials evaluating a draft decision notice.  They also write a professional journal article.</w:t>
      </w:r>
    </w:p>
    <w:p w:rsidR="0027362E" w:rsidRPr="00033D3B" w:rsidRDefault="0027362E"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The Health Regulatory Process course was a prototype when introduced, as it was the first Writing Course at the University of Houston Law Center in which doctrinal and Lawyering Skills &amp; Strategies faculty collaborated on the class’s writing component. Professor Simpson, an Assistant Clinical Professor for Lawyering Skills and Strategies, advised Professor Mantel on types of practical writings that could meet the course’s pedagogic goals and on the timing and order of writing assignments; compiled writing reference materials; lectured and facilitated an in-class exercise on drafting client communications; reviewed and provided detailed feedback on the first draft of students’ initial client-advice letters; conducted an in-class workshop designed to address the writing difficulties observed in the first drafts; and consulted with students as requested. Professor Mantel designed the course syllabus, including selecting assigned readings; taught all health-law classes; and reviewed, gave detailed written and oral feedback on, and graded all student writing assignments. The collaboration produced significant economies and synergies for the faculty and significant improvement in student writing.</w:t>
      </w:r>
    </w:p>
    <w:p w:rsidR="0027362E" w:rsidRPr="00033D3B" w:rsidRDefault="0027362E"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r w:rsidRPr="00033D3B">
        <w:rPr>
          <w:rFonts w:ascii="Candara" w:hAnsi="Candara"/>
          <w:sz w:val="22"/>
          <w:szCs w:val="22"/>
        </w:rPr>
        <w:tab/>
      </w:r>
      <w:r w:rsidRPr="00033D3B">
        <w:rPr>
          <w:rFonts w:ascii="Candara" w:hAnsi="Candara"/>
          <w:sz w:val="22"/>
          <w:szCs w:val="22"/>
        </w:rPr>
        <w:tab/>
        <w:t>The course satisfies ABA Standard 303(a)(2)’s requirement for an upper-level writing course, but not for a simulation course under ABA Standard 304. Nonetheless, the collaborative process used in this writing course provides an effective model for a simulation course under Standard 304. The collaborative model could allow efficient creation of simulation courses in a cost-effective manner.</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r>
      <w:r w:rsidRPr="00033D3B">
        <w:rPr>
          <w:rFonts w:ascii="Candara" w:hAnsi="Candara"/>
          <w:sz w:val="22"/>
          <w:szCs w:val="22"/>
        </w:rPr>
        <w:tab/>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b/>
          <w:bCs/>
          <w:sz w:val="22"/>
          <w:szCs w:val="22"/>
        </w:rPr>
      </w:pPr>
      <w:r w:rsidRPr="00033D3B">
        <w:rPr>
          <w:rFonts w:ascii="Candara" w:hAnsi="Candara"/>
          <w:b/>
          <w:bCs/>
          <w:sz w:val="22"/>
          <w:szCs w:val="22"/>
        </w:rPr>
        <w:tab/>
      </w:r>
    </w:p>
    <w:p w:rsidR="00033D3B" w:rsidRDefault="00033D3B"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b/>
          <w:bCs/>
          <w:sz w:val="22"/>
          <w:szCs w:val="22"/>
        </w:rPr>
      </w:pPr>
    </w:p>
    <w:p w:rsidR="00033D3B" w:rsidRDefault="00033D3B"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b/>
          <w:bCs/>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b/>
          <w:bCs/>
          <w:sz w:val="22"/>
          <w:szCs w:val="22"/>
        </w:rPr>
        <w:lastRenderedPageBreak/>
        <w:t xml:space="preserve">8) </w:t>
      </w:r>
      <w:r w:rsidRPr="00033D3B">
        <w:rPr>
          <w:rFonts w:ascii="Candara" w:hAnsi="Candara"/>
          <w:b/>
          <w:bCs/>
          <w:sz w:val="22"/>
          <w:szCs w:val="22"/>
          <w:u w:val="single"/>
        </w:rPr>
        <w:t>LLEAP Curriculum</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Professor Lisa Wood</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Professor Tim Duff</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r w:rsidRPr="00033D3B">
        <w:rPr>
          <w:rFonts w:ascii="Candara" w:hAnsi="Candara"/>
          <w:sz w:val="22"/>
          <w:szCs w:val="22"/>
        </w:rPr>
        <w:tab/>
        <w:t>Case Western Reserve University School of Law</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hanging="36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r w:rsidRPr="00033D3B">
        <w:rPr>
          <w:rFonts w:ascii="Candara" w:hAnsi="Candara"/>
          <w:sz w:val="22"/>
          <w:szCs w:val="22"/>
        </w:rPr>
        <w:t xml:space="preserve">In 2013, our faculty approved a required three-year integrated writing, experiential, and skills-based curriculum known as LLEAP, which stands for </w:t>
      </w:r>
      <w:r w:rsidRPr="00033D3B">
        <w:rPr>
          <w:rStyle w:val="dnnalignleft"/>
          <w:rFonts w:ascii="Candara" w:hAnsi="Candara"/>
          <w:sz w:val="22"/>
          <w:szCs w:val="22"/>
        </w:rPr>
        <w:t>Legal Writing, Leadership, Experiential Learning, Advocacy, and Professionalism</w:t>
      </w:r>
      <w:r w:rsidRPr="00033D3B">
        <w:rPr>
          <w:rFonts w:ascii="Candara" w:hAnsi="Candara"/>
          <w:sz w:val="22"/>
          <w:szCs w:val="22"/>
        </w:rPr>
        <w:t>. The curriculum consists of four semesters designed to help law students develop the skills required by practicing attorneys.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b/>
          <w:bCs/>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b/>
          <w:bCs/>
          <w:i/>
          <w:iCs/>
          <w:sz w:val="22"/>
          <w:szCs w:val="22"/>
        </w:rPr>
      </w:pPr>
      <w:r w:rsidRPr="00033D3B">
        <w:rPr>
          <w:rFonts w:ascii="Candara" w:hAnsi="Candara"/>
          <w:b/>
          <w:bCs/>
          <w:sz w:val="22"/>
          <w:szCs w:val="22"/>
        </w:rPr>
        <w:t xml:space="preserve">LLEAP 1 &amp; LEAP 2 </w:t>
      </w:r>
      <w:r w:rsidRPr="00033D3B">
        <w:rPr>
          <w:rStyle w:val="dnnalignleft"/>
          <w:rFonts w:ascii="Candara" w:hAnsi="Candara"/>
          <w:sz w:val="22"/>
          <w:szCs w:val="22"/>
        </w:rPr>
        <w:t xml:space="preserve">together comprise a </w:t>
      </w:r>
      <w:r w:rsidRPr="00033D3B">
        <w:rPr>
          <w:rFonts w:ascii="Candara" w:hAnsi="Candara"/>
          <w:sz w:val="22"/>
          <w:szCs w:val="22"/>
        </w:rPr>
        <w:t>two-semester, eight-credit, first-year course. These courses constitute the traditional first-year legal research, writing, and analysis course, requiring the students to draft objective legal memoranda and persuasive briefs. The curriculum, however, varies from traditional first-year courses in three notable ways: 1) students learn the basic rules of contract drafting and are required to analyze and draft several contracts, 2) students engage in simulated client interviewing, client counseling, and negotiation sessions, and 3) students, under the supervision of faculty and practicing attorneys, assist legal community organizations (such as the Legal Aid Society) by conducting client-intake and other interviews.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b/>
          <w:bCs/>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r w:rsidRPr="00033D3B">
        <w:rPr>
          <w:rFonts w:ascii="Candara" w:hAnsi="Candara"/>
          <w:b/>
          <w:bCs/>
          <w:sz w:val="22"/>
          <w:szCs w:val="22"/>
        </w:rPr>
        <w:t xml:space="preserve">LLEAP 3 </w:t>
      </w:r>
      <w:r w:rsidRPr="00033D3B">
        <w:rPr>
          <w:rFonts w:ascii="Candara" w:hAnsi="Candara"/>
          <w:sz w:val="22"/>
          <w:szCs w:val="22"/>
        </w:rPr>
        <w:t>is a one-semester, three-credit, advanced writing course required for all second-year students. Students must elect between LLEAP 3-Litigation and LLEAP 3-Transactions. LLEAP 3-Litigation requires students to, among other things, handle a lawsuit from the first client meeting through settlement discussions—requiring students to obtain engagement letters, analyze facts gathered from clients and witnesses, conduct legal research, draft pleadings, discovery, and motions, and engage in settlement negotiations. LLEAP 3-Transactions requires students to engage in all stages of a business transaction: drafting a letter of intent, conducting due diligence of a fully-developed seller’s data room, negotiating and amending an asset purchase agreement, and completing the escrow closing of that transaction.</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r w:rsidRPr="00033D3B">
        <w:rPr>
          <w:rFonts w:ascii="Candara" w:hAnsi="Candara"/>
          <w:sz w:val="22"/>
          <w:szCs w:val="22"/>
        </w:rPr>
        <w:t>Although the two courses place students in different legal settings, both courses prepare the students for their third-year Capstone by requiring them to develop the same legal skills: engaging in multiple research and writing assignments; engaging in multiple forms of legal writing; working with clients through simulated client interviews, client counseling, and negotiation sessions; learning to analyze and use financial statements (e.g. balance sheets and cash flow statements); and keeping track of billable hours.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b/>
          <w:bCs/>
          <w:sz w:val="22"/>
          <w:szCs w:val="22"/>
        </w:rPr>
      </w:pPr>
    </w:p>
    <w:p w:rsidR="00D61A3A"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r w:rsidRPr="00033D3B">
        <w:rPr>
          <w:rFonts w:ascii="Candara" w:hAnsi="Candara"/>
          <w:b/>
          <w:bCs/>
          <w:sz w:val="22"/>
          <w:szCs w:val="22"/>
        </w:rPr>
        <w:t xml:space="preserve">LLEAP 4 </w:t>
      </w:r>
      <w:r w:rsidRPr="00033D3B">
        <w:rPr>
          <w:rFonts w:ascii="Candara" w:hAnsi="Candara"/>
          <w:sz w:val="22"/>
          <w:szCs w:val="22"/>
        </w:rPr>
        <w:t>is a four-credit seminar that requires third-year students to engage in research and analysis concerning the substantive, procedural, administrative and ethical challenges that they face while completing their Capstone. All third-year students are required to complete a Capstone, working as lawyers under the supervision of practicing attorneys on either a full-time basis during one semester or on a part-time basis during both semesters. Most students will complete their Capstone in the Law School’s various in-house clinics, although students may participate in external Capstones developed by the Law School locally, nationally, and internationally, or develop their own external Capstones with the approval of the Law School’s administration.</w:t>
      </w:r>
    </w:p>
    <w:p w:rsidR="00033D3B" w:rsidRDefault="00033D3B"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p>
    <w:p w:rsidR="00033D3B" w:rsidRDefault="00033D3B"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p>
    <w:p w:rsidR="00033D3B" w:rsidRPr="00033D3B" w:rsidRDefault="00033D3B"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ind w:firstLine="720"/>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b/>
          <w:bCs/>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b/>
          <w:bCs/>
          <w:sz w:val="22"/>
          <w:szCs w:val="22"/>
        </w:rPr>
        <w:lastRenderedPageBreak/>
        <w:t xml:space="preserve">9) </w:t>
      </w:r>
      <w:r w:rsidRPr="00033D3B">
        <w:rPr>
          <w:rFonts w:ascii="Candara" w:hAnsi="Candara"/>
          <w:b/>
          <w:bCs/>
          <w:sz w:val="22"/>
          <w:szCs w:val="22"/>
          <w:u w:val="single"/>
        </w:rPr>
        <w:t>Public Policy Research and Drafting</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Professor Tara Casey</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University of Richmond School of Law</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t xml:space="preserve">In Fall 2012, I created </w:t>
      </w:r>
      <w:r w:rsidRPr="00033D3B">
        <w:rPr>
          <w:rFonts w:ascii="Candara" w:hAnsi="Candara"/>
          <w:sz w:val="22"/>
          <w:szCs w:val="22"/>
          <w:u w:val="single"/>
        </w:rPr>
        <w:t>Public Policy Research and Drafting</w:t>
      </w:r>
      <w:r w:rsidRPr="00033D3B">
        <w:rPr>
          <w:rFonts w:ascii="Candara" w:hAnsi="Candara"/>
          <w:sz w:val="22"/>
          <w:szCs w:val="22"/>
        </w:rPr>
        <w:t xml:space="preserve"> as an elective upper level class combining both advanced legal research and writing instruction with a project-based experience. This course provides students with an opportunity to explore advanced legal research in the public policy field, develop their writing skills in the context of creating an issue paper, and engage with nonprofit organizations from the greater Richmond community.  On a broader scale, this course assists nonprofits with scarce resources and time constraints.  Furthermore, the students acquire valuable lawyering skills while contributing significantly to needs in our community.</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t>In the past five years, students have engaged in high level issues of statewide and national importance, such as: criminal justice debt and its effects upon persistent poverty and recidivism, domestic violence laws in the context of 2nd Amendment rights, whether source of income could be a protected class to eliminate housing voucher discrimination, and raising the grand larceny threshold to $500 to reduce felony culpability. The students consistently receive positive reviews from their respective organizations and clients, including invitations to present their findings and papers to larger meetings and audiences even after the semester has concluded.  Beyond the scope of our original vision, students also had the opportunity to engage with their organization’s broader collaborations during the legislative session of the Virginia General Assembly or administrative/regulatory policy processes.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t>Based upon the success of this course, and the positive feedback from both students and partners, the course was certified as part of Richmond Law’s Law Skills IV program in 2016. All Richmond Law students must complete a Law Skills I, II, III, and IV course prior to graduation. A Law Skills IV course requires the following criteria: , 1) a primary focus of the course must be on teaching lawyering skills through multiple drafting assignments that are practice-oriented, 2) a significant portion of student-faculty interaction must be devoted to the discussion and analysis of those assignments, 3) faculty must give students individualized feedback oriented toward the development of particular lawyering skills, 4) the course must be at least two credits and capped at sixteen students. This course meets this criteria because: 1) students draft multiple writing assignments, including a letter to the editor, a research outline (i.e., annotated bibliography), a first draft, and a final draft, as well as written feedback on their classmates’ work, 2) the course is divided into 2/3 of the meeting time teaching of the substantive public policy concepts, with the remaining 1/3 devoted to workshopping their individual projects, 3) feedback is delivered on a weekly basis in live time, as well as in written feedback for the assignments, and 4) the course is a three-credit course requiring far more work than three credits).</w:t>
      </w:r>
    </w:p>
    <w:p w:rsidR="00D61A3A" w:rsidRPr="00033D3B" w:rsidRDefault="00D61A3A" w:rsidP="00273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rPr>
          <w:rFonts w:ascii="Candara" w:hAnsi="Candara"/>
          <w:sz w:val="22"/>
          <w:szCs w:val="22"/>
        </w:rPr>
      </w:pPr>
      <w:r w:rsidRPr="00033D3B">
        <w:rPr>
          <w:rFonts w:ascii="Candara" w:hAnsi="Candara"/>
          <w:sz w:val="22"/>
          <w:szCs w:val="22"/>
        </w:rPr>
        <w:tab/>
      </w:r>
    </w:p>
    <w:p w:rsidR="00746B74" w:rsidRDefault="00D61A3A" w:rsidP="00393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pPr>
      <w:r w:rsidRPr="00033D3B">
        <w:rPr>
          <w:rFonts w:ascii="Candara" w:hAnsi="Candara"/>
          <w:sz w:val="22"/>
          <w:szCs w:val="22"/>
        </w:rPr>
        <w:tab/>
        <w:t xml:space="preserve">The creation of this hybrid clinical experience has provided students with the opportunity to sharpen their writing and analytical skills, to expand their research skills, and to engage in critical proofreading and editing. In a small seminar setting, students receive intensive instruction and feedback on their research and writing, while also learning how to provide critical feedback themselves. Additionally, this course provides students with an exposure to the legal work performed in the public policy field. For those students whose interests lie outside of the litigation or transactional arenas, this course serves as good preparation. </w:t>
      </w:r>
      <w:r w:rsidR="00393F1C">
        <w:rPr>
          <w:rFonts w:ascii="Candara" w:hAnsi="Candara"/>
          <w:sz w:val="22"/>
          <w:szCs w:val="22"/>
        </w:rPr>
        <w:t>T</w:t>
      </w:r>
      <w:r w:rsidRPr="00033D3B">
        <w:rPr>
          <w:rFonts w:ascii="Candara" w:hAnsi="Candara"/>
          <w:sz w:val="22"/>
          <w:szCs w:val="22"/>
        </w:rPr>
        <w:t>his course connects students with, and showcases their work to, nonprofit organizations, thus opening the door for future networking opportunities.</w:t>
      </w:r>
    </w:p>
    <w:sectPr w:rsidR="00746B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2A" w:rsidRDefault="0082032A" w:rsidP="00393F1C">
      <w:r>
        <w:separator/>
      </w:r>
    </w:p>
  </w:endnote>
  <w:endnote w:type="continuationSeparator" w:id="0">
    <w:p w:rsidR="0082032A" w:rsidRDefault="0082032A" w:rsidP="0039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1C" w:rsidRDefault="00393F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56198"/>
      <w:docPartObj>
        <w:docPartGallery w:val="Page Numbers (Bottom of Page)"/>
        <w:docPartUnique/>
      </w:docPartObj>
    </w:sdtPr>
    <w:sdtEndPr>
      <w:rPr>
        <w:noProof/>
      </w:rPr>
    </w:sdtEndPr>
    <w:sdtContent>
      <w:p w:rsidR="00393F1C" w:rsidRDefault="00393F1C">
        <w:pPr>
          <w:pStyle w:val="Footer"/>
          <w:jc w:val="center"/>
        </w:pPr>
        <w:r>
          <w:fldChar w:fldCharType="begin"/>
        </w:r>
        <w:r>
          <w:instrText xml:space="preserve"> PAGE   \* MERGEFORMAT </w:instrText>
        </w:r>
        <w:r>
          <w:fldChar w:fldCharType="separate"/>
        </w:r>
        <w:r w:rsidR="00CB3ED9">
          <w:rPr>
            <w:noProof/>
          </w:rPr>
          <w:t>1</w:t>
        </w:r>
        <w:r>
          <w:rPr>
            <w:noProof/>
          </w:rPr>
          <w:fldChar w:fldCharType="end"/>
        </w:r>
      </w:p>
    </w:sdtContent>
  </w:sdt>
  <w:p w:rsidR="00393F1C" w:rsidRDefault="00393F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1C" w:rsidRDefault="00393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2A" w:rsidRDefault="0082032A" w:rsidP="00393F1C">
      <w:r>
        <w:separator/>
      </w:r>
    </w:p>
  </w:footnote>
  <w:footnote w:type="continuationSeparator" w:id="0">
    <w:p w:rsidR="0082032A" w:rsidRDefault="0082032A" w:rsidP="00393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1C" w:rsidRDefault="00393F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1C" w:rsidRDefault="00393F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1C" w:rsidRDefault="00393F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67FA"/>
    <w:multiLevelType w:val="hybridMultilevel"/>
    <w:tmpl w:val="A518FA76"/>
    <w:lvl w:ilvl="0" w:tplc="B48AA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03E7C"/>
    <w:multiLevelType w:val="hybridMultilevel"/>
    <w:tmpl w:val="D6343070"/>
    <w:lvl w:ilvl="0" w:tplc="40764D02">
      <w:start w:val="1"/>
      <w:numFmt w:val="lowerRoman"/>
      <w:lvlText w:val="(%1)"/>
      <w:lvlJc w:val="left"/>
      <w:pPr>
        <w:ind w:left="5250" w:hanging="720"/>
      </w:pPr>
      <w:rPr>
        <w:rFonts w:hint="default"/>
      </w:rPr>
    </w:lvl>
    <w:lvl w:ilvl="1" w:tplc="04090019" w:tentative="1">
      <w:start w:val="1"/>
      <w:numFmt w:val="lowerLetter"/>
      <w:lvlText w:val="%2."/>
      <w:lvlJc w:val="left"/>
      <w:pPr>
        <w:ind w:left="5610" w:hanging="360"/>
      </w:pPr>
    </w:lvl>
    <w:lvl w:ilvl="2" w:tplc="0409001B" w:tentative="1">
      <w:start w:val="1"/>
      <w:numFmt w:val="lowerRoman"/>
      <w:lvlText w:val="%3."/>
      <w:lvlJc w:val="right"/>
      <w:pPr>
        <w:ind w:left="6330" w:hanging="180"/>
      </w:pPr>
    </w:lvl>
    <w:lvl w:ilvl="3" w:tplc="0409000F" w:tentative="1">
      <w:start w:val="1"/>
      <w:numFmt w:val="decimal"/>
      <w:lvlText w:val="%4."/>
      <w:lvlJc w:val="left"/>
      <w:pPr>
        <w:ind w:left="7050" w:hanging="360"/>
      </w:pPr>
    </w:lvl>
    <w:lvl w:ilvl="4" w:tplc="04090019" w:tentative="1">
      <w:start w:val="1"/>
      <w:numFmt w:val="lowerLetter"/>
      <w:lvlText w:val="%5."/>
      <w:lvlJc w:val="left"/>
      <w:pPr>
        <w:ind w:left="7770" w:hanging="360"/>
      </w:pPr>
    </w:lvl>
    <w:lvl w:ilvl="5" w:tplc="0409001B" w:tentative="1">
      <w:start w:val="1"/>
      <w:numFmt w:val="lowerRoman"/>
      <w:lvlText w:val="%6."/>
      <w:lvlJc w:val="right"/>
      <w:pPr>
        <w:ind w:left="8490" w:hanging="180"/>
      </w:pPr>
    </w:lvl>
    <w:lvl w:ilvl="6" w:tplc="0409000F" w:tentative="1">
      <w:start w:val="1"/>
      <w:numFmt w:val="decimal"/>
      <w:lvlText w:val="%7."/>
      <w:lvlJc w:val="left"/>
      <w:pPr>
        <w:ind w:left="9210" w:hanging="360"/>
      </w:pPr>
    </w:lvl>
    <w:lvl w:ilvl="7" w:tplc="04090019" w:tentative="1">
      <w:start w:val="1"/>
      <w:numFmt w:val="lowerLetter"/>
      <w:lvlText w:val="%8."/>
      <w:lvlJc w:val="left"/>
      <w:pPr>
        <w:ind w:left="9930" w:hanging="360"/>
      </w:pPr>
    </w:lvl>
    <w:lvl w:ilvl="8" w:tplc="0409001B" w:tentative="1">
      <w:start w:val="1"/>
      <w:numFmt w:val="lowerRoman"/>
      <w:lvlText w:val="%9."/>
      <w:lvlJc w:val="right"/>
      <w:pPr>
        <w:ind w:left="10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A"/>
    <w:rsid w:val="00033D3B"/>
    <w:rsid w:val="0027362E"/>
    <w:rsid w:val="00393F1C"/>
    <w:rsid w:val="003B3062"/>
    <w:rsid w:val="00415DC3"/>
    <w:rsid w:val="006829A9"/>
    <w:rsid w:val="006D79AC"/>
    <w:rsid w:val="00746B74"/>
    <w:rsid w:val="0082032A"/>
    <w:rsid w:val="00CB3ED9"/>
    <w:rsid w:val="00D61A3A"/>
    <w:rsid w:val="00F4663F"/>
    <w:rsid w:val="00FA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0B65F-10FF-4294-A43A-0B148014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3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nnalignleft">
    <w:name w:val="dnnalignleft"/>
    <w:uiPriority w:val="99"/>
    <w:rsid w:val="00D61A3A"/>
  </w:style>
  <w:style w:type="paragraph" w:styleId="ListParagraph">
    <w:name w:val="List Paragraph"/>
    <w:basedOn w:val="Normal"/>
    <w:uiPriority w:val="34"/>
    <w:qFormat/>
    <w:rsid w:val="00415DC3"/>
    <w:pPr>
      <w:ind w:left="720"/>
      <w:contextualSpacing/>
    </w:pPr>
  </w:style>
  <w:style w:type="character" w:styleId="Hyperlink">
    <w:name w:val="Hyperlink"/>
    <w:basedOn w:val="DefaultParagraphFont"/>
    <w:uiPriority w:val="99"/>
    <w:unhideWhenUsed/>
    <w:rsid w:val="00393F1C"/>
    <w:rPr>
      <w:color w:val="0000FF" w:themeColor="hyperlink"/>
      <w:u w:val="single"/>
    </w:rPr>
  </w:style>
  <w:style w:type="paragraph" w:styleId="Header">
    <w:name w:val="header"/>
    <w:basedOn w:val="Normal"/>
    <w:link w:val="HeaderChar"/>
    <w:uiPriority w:val="99"/>
    <w:unhideWhenUsed/>
    <w:rsid w:val="00393F1C"/>
    <w:pPr>
      <w:tabs>
        <w:tab w:val="center" w:pos="4680"/>
        <w:tab w:val="right" w:pos="9360"/>
      </w:tabs>
    </w:pPr>
  </w:style>
  <w:style w:type="character" w:customStyle="1" w:styleId="HeaderChar">
    <w:name w:val="Header Char"/>
    <w:basedOn w:val="DefaultParagraphFont"/>
    <w:link w:val="Header"/>
    <w:uiPriority w:val="99"/>
    <w:rsid w:val="00393F1C"/>
    <w:rPr>
      <w:rFonts w:ascii="Times New Roman" w:hAnsi="Times New Roman" w:cs="Times New Roman"/>
      <w:sz w:val="20"/>
      <w:szCs w:val="20"/>
    </w:rPr>
  </w:style>
  <w:style w:type="paragraph" w:styleId="Footer">
    <w:name w:val="footer"/>
    <w:basedOn w:val="Normal"/>
    <w:link w:val="FooterChar"/>
    <w:uiPriority w:val="99"/>
    <w:unhideWhenUsed/>
    <w:rsid w:val="00393F1C"/>
    <w:pPr>
      <w:tabs>
        <w:tab w:val="center" w:pos="4680"/>
        <w:tab w:val="right" w:pos="9360"/>
      </w:tabs>
    </w:pPr>
  </w:style>
  <w:style w:type="character" w:customStyle="1" w:styleId="FooterChar">
    <w:name w:val="Footer Char"/>
    <w:basedOn w:val="DefaultParagraphFont"/>
    <w:link w:val="Footer"/>
    <w:uiPriority w:val="99"/>
    <w:rsid w:val="00393F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5577">
      <w:bodyDiv w:val="1"/>
      <w:marLeft w:val="0"/>
      <w:marRight w:val="0"/>
      <w:marTop w:val="0"/>
      <w:marBottom w:val="0"/>
      <w:divBdr>
        <w:top w:val="none" w:sz="0" w:space="0" w:color="auto"/>
        <w:left w:val="none" w:sz="0" w:space="0" w:color="auto"/>
        <w:bottom w:val="none" w:sz="0" w:space="0" w:color="auto"/>
        <w:right w:val="none" w:sz="0" w:space="0" w:color="auto"/>
      </w:divBdr>
    </w:div>
    <w:div w:id="4475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ericanbar.org/groups/legal_education/resources/standard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Manis</dc:creator>
  <cp:lastModifiedBy>Susan Patricia Liemer</cp:lastModifiedBy>
  <cp:revision>2</cp:revision>
  <cp:lastPrinted>2016-12-05T20:47:00Z</cp:lastPrinted>
  <dcterms:created xsi:type="dcterms:W3CDTF">2017-01-02T19:00:00Z</dcterms:created>
  <dcterms:modified xsi:type="dcterms:W3CDTF">2017-01-02T19:00:00Z</dcterms:modified>
</cp:coreProperties>
</file>